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050"/>
      </w:tblGrid>
      <w:tr w:rsidR="000E58C2" w:rsidRPr="00A12D65" w14:paraId="4A75A951" w14:textId="77777777" w:rsidTr="004F5F48">
        <w:tc>
          <w:tcPr>
            <w:tcW w:w="5238" w:type="dxa"/>
            <w:vAlign w:val="center"/>
          </w:tcPr>
          <w:p w14:paraId="269EB44B" w14:textId="3AEBFEA4" w:rsidR="00B71FF1" w:rsidRPr="00A12D65" w:rsidRDefault="00B402D4" w:rsidP="00834395">
            <w:pPr>
              <w:contextualSpacing/>
              <w:jc w:val="both"/>
              <w:rPr>
                <w:rFonts w:ascii="Times New Roman" w:eastAsia="Times New Roman" w:hAnsi="Times New Roman" w:cs="Times New Roman"/>
                <w:b/>
                <w:bCs/>
                <w:sz w:val="20"/>
                <w:szCs w:val="20"/>
                <w:lang w:eastAsia="en-GB"/>
              </w:rPr>
            </w:pPr>
            <w:r w:rsidRPr="00B402D4">
              <w:rPr>
                <w:rFonts w:ascii="Times New Roman" w:eastAsia="Times New Roman" w:hAnsi="Times New Roman" w:cs="Times New Roman"/>
                <w:b/>
                <w:bCs/>
                <w:sz w:val="20"/>
                <w:szCs w:val="20"/>
                <w:lang w:eastAsia="en-GB"/>
              </w:rPr>
              <w:t>Công Ty TNHH Quản Lý Quỹ SSI</w:t>
            </w:r>
          </w:p>
        </w:tc>
        <w:tc>
          <w:tcPr>
            <w:tcW w:w="4050" w:type="dxa"/>
            <w:vAlign w:val="center"/>
          </w:tcPr>
          <w:p w14:paraId="317757F2" w14:textId="77777777" w:rsidR="00B71FF1" w:rsidRPr="00A12D65" w:rsidRDefault="00E34A50" w:rsidP="00834395">
            <w:pPr>
              <w:contextualSpacing/>
              <w:jc w:val="right"/>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Mẫu số B06g-QM</w:t>
            </w:r>
          </w:p>
        </w:tc>
      </w:tr>
      <w:tr w:rsidR="00E34A50" w:rsidRPr="00A12D65" w14:paraId="6E7B1599" w14:textId="77777777" w:rsidTr="004F5F48">
        <w:tc>
          <w:tcPr>
            <w:tcW w:w="5238" w:type="dxa"/>
            <w:vAlign w:val="center"/>
          </w:tcPr>
          <w:p w14:paraId="1EED706E" w14:textId="0A94A230" w:rsidR="00B71FF1" w:rsidRPr="00A12D65" w:rsidRDefault="007F6A55" w:rsidP="00834395">
            <w:pPr>
              <w:contextualSpacing/>
              <w:jc w:val="both"/>
              <w:rPr>
                <w:rFonts w:ascii="Times New Roman" w:eastAsia="Times New Roman" w:hAnsi="Times New Roman" w:cs="Times New Roman"/>
                <w:b/>
                <w:bCs/>
                <w:sz w:val="20"/>
                <w:szCs w:val="20"/>
                <w:lang w:eastAsia="en-GB"/>
              </w:rPr>
            </w:pPr>
            <w:r w:rsidRPr="007F6A55">
              <w:rPr>
                <w:rFonts w:ascii="Times New Roman" w:eastAsia="Times New Roman" w:hAnsi="Times New Roman" w:cs="Times New Roman"/>
                <w:b/>
                <w:bCs/>
                <w:sz w:val="20"/>
                <w:szCs w:val="20"/>
                <w:lang w:eastAsia="en-GB"/>
              </w:rPr>
              <w:t>Quỹ Đầu tư Lợi thế Cạnh tranh Bền vững SSI</w:t>
            </w:r>
          </w:p>
        </w:tc>
        <w:tc>
          <w:tcPr>
            <w:tcW w:w="4050" w:type="dxa"/>
            <w:vAlign w:val="center"/>
          </w:tcPr>
          <w:p w14:paraId="15FEE3EF" w14:textId="77777777" w:rsidR="00B71FF1" w:rsidRPr="00A12D65" w:rsidRDefault="00E34A50" w:rsidP="00834395">
            <w:pPr>
              <w:contextualSpacing/>
              <w:jc w:val="right"/>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(Ban hành theo TT số 198/2012/TT-BTC ngày 15/11/2012 của Bộ Tài Chính)</w:t>
            </w:r>
          </w:p>
        </w:tc>
      </w:tr>
    </w:tbl>
    <w:p w14:paraId="02F87D41" w14:textId="77777777" w:rsidR="004F5F48" w:rsidRPr="00A12D65" w:rsidRDefault="004F5F48" w:rsidP="00CC0580">
      <w:pPr>
        <w:spacing w:afterLines="60" w:after="144"/>
        <w:contextualSpacing/>
        <w:jc w:val="both"/>
        <w:rPr>
          <w:rFonts w:ascii="Times New Roman" w:hAnsi="Times New Roman" w:cs="Times New Roman"/>
          <w:b/>
          <w:sz w:val="20"/>
          <w:szCs w:val="20"/>
        </w:rPr>
      </w:pPr>
    </w:p>
    <w:p w14:paraId="11E9E508" w14:textId="77777777" w:rsidR="003E3718" w:rsidRPr="00A12D65" w:rsidRDefault="00E34A50" w:rsidP="00834395">
      <w:pPr>
        <w:spacing w:before="120" w:after="120" w:line="360" w:lineRule="auto"/>
        <w:jc w:val="center"/>
        <w:rPr>
          <w:rFonts w:ascii="Times New Roman" w:hAnsi="Times New Roman" w:cs="Times New Roman"/>
          <w:b/>
          <w:sz w:val="20"/>
          <w:szCs w:val="20"/>
        </w:rPr>
      </w:pPr>
      <w:r w:rsidRPr="00A12D65">
        <w:rPr>
          <w:rFonts w:ascii="Times New Roman" w:hAnsi="Times New Roman" w:cs="Times New Roman"/>
          <w:b/>
          <w:sz w:val="20"/>
          <w:szCs w:val="20"/>
        </w:rPr>
        <w:t>BẢN THUYẾT MINH BÁO CÁO TÀI CHÍNH</w:t>
      </w:r>
    </w:p>
    <w:p w14:paraId="55042326" w14:textId="158FA367" w:rsidR="003E3718" w:rsidRPr="00A12D65" w:rsidRDefault="00EC3DB6" w:rsidP="00834395">
      <w:pPr>
        <w:spacing w:before="120" w:after="120" w:line="360" w:lineRule="auto"/>
        <w:jc w:val="center"/>
        <w:outlineLvl w:val="0"/>
        <w:rPr>
          <w:rFonts w:ascii="Times New Roman" w:hAnsi="Times New Roman" w:cs="Times New Roman"/>
          <w:b/>
          <w:sz w:val="20"/>
          <w:szCs w:val="20"/>
        </w:rPr>
      </w:pPr>
      <w:r w:rsidRPr="00A12D65">
        <w:rPr>
          <w:rFonts w:ascii="Times New Roman" w:eastAsia="Calibri" w:hAnsi="Times New Roman" w:cs="Times New Roman"/>
          <w:b/>
          <w:sz w:val="20"/>
          <w:szCs w:val="20"/>
        </w:rPr>
        <w:t xml:space="preserve">Quý </w:t>
      </w:r>
      <w:r w:rsidR="00F66A80">
        <w:rPr>
          <w:rFonts w:ascii="Times New Roman" w:eastAsia="Calibri" w:hAnsi="Times New Roman" w:cs="Times New Roman"/>
          <w:b/>
          <w:sz w:val="20"/>
          <w:szCs w:val="20"/>
        </w:rPr>
        <w:t>I</w:t>
      </w:r>
      <w:r w:rsidR="008E5CCB" w:rsidRPr="00A12D65">
        <w:rPr>
          <w:rFonts w:ascii="Times New Roman" w:eastAsia="Calibri" w:hAnsi="Times New Roman" w:cs="Times New Roman"/>
          <w:b/>
          <w:sz w:val="20"/>
          <w:szCs w:val="20"/>
        </w:rPr>
        <w:t xml:space="preserve"> </w:t>
      </w:r>
      <w:r w:rsidR="00916D81" w:rsidRPr="00A12D65">
        <w:rPr>
          <w:rFonts w:ascii="Times New Roman" w:eastAsia="Calibri" w:hAnsi="Times New Roman" w:cs="Times New Roman"/>
          <w:b/>
          <w:sz w:val="20"/>
          <w:szCs w:val="20"/>
        </w:rPr>
        <w:t>n</w:t>
      </w:r>
      <w:r w:rsidR="008E5CCB" w:rsidRPr="00A12D65">
        <w:rPr>
          <w:rFonts w:ascii="Times New Roman" w:eastAsia="Calibri" w:hAnsi="Times New Roman" w:cs="Times New Roman"/>
          <w:b/>
          <w:sz w:val="20"/>
          <w:szCs w:val="20"/>
        </w:rPr>
        <w:t xml:space="preserve">ăm </w:t>
      </w:r>
      <w:r w:rsidR="0044257C">
        <w:rPr>
          <w:rFonts w:ascii="Times New Roman" w:eastAsia="Calibri" w:hAnsi="Times New Roman" w:cs="Times New Roman"/>
          <w:b/>
          <w:sz w:val="20"/>
          <w:szCs w:val="20"/>
        </w:rPr>
        <w:t>2024</w:t>
      </w:r>
    </w:p>
    <w:p w14:paraId="1AC53EFA" w14:textId="77777777" w:rsidR="003E3718" w:rsidRPr="00A12D6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Đặc điểm hoạt động của Quỹ mở</w:t>
      </w:r>
    </w:p>
    <w:p w14:paraId="1C0DABF4" w14:textId="4B34895F"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Giấy chứng nhận chào bán </w:t>
      </w:r>
      <w:r w:rsidR="00776AA2" w:rsidRPr="00A12D65">
        <w:rPr>
          <w:rFonts w:ascii="Times New Roman" w:hAnsi="Times New Roman" w:cs="Times New Roman"/>
          <w:b/>
          <w:sz w:val="20"/>
          <w:szCs w:val="20"/>
        </w:rPr>
        <w:t>Chứng chỉ Quỹ</w:t>
      </w:r>
      <w:r w:rsidRPr="00A12D65">
        <w:rPr>
          <w:rFonts w:ascii="Times New Roman" w:hAnsi="Times New Roman" w:cs="Times New Roman"/>
          <w:b/>
          <w:sz w:val="20"/>
          <w:szCs w:val="20"/>
        </w:rPr>
        <w:t xml:space="preserve"> và Giấy chứng nhận đăng ký thành lập Quỹ mở</w:t>
      </w:r>
    </w:p>
    <w:p w14:paraId="538A6CC8" w14:textId="147170B1" w:rsidR="00697857"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(“Quỹ”) nhận giấy chứng nhận đăng ký chào bán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đầu tư chứng khoán ra công chúng số 50/GCN-UBCK ngày 26 tháng 06 năm 2014. Thời gian phát hành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ra công chúng từ 08/08/2014 và kết thúc vào ngày 08/09/2014.</w:t>
      </w:r>
    </w:p>
    <w:p w14:paraId="007C16E4" w14:textId="4CFBD881" w:rsidR="00B03E94"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được cấp </w:t>
      </w:r>
      <w:r w:rsidR="0022048D" w:rsidRPr="00A12D65">
        <w:rPr>
          <w:rFonts w:ascii="Times New Roman" w:hAnsi="Times New Roman" w:cs="Times New Roman"/>
          <w:sz w:val="20"/>
          <w:szCs w:val="20"/>
        </w:rPr>
        <w:t>G</w:t>
      </w:r>
      <w:r w:rsidRPr="00A12D65">
        <w:rPr>
          <w:rFonts w:ascii="Times New Roman" w:hAnsi="Times New Roman" w:cs="Times New Roman"/>
          <w:sz w:val="20"/>
          <w:szCs w:val="20"/>
        </w:rPr>
        <w:t xml:space="preserve">iấy </w:t>
      </w:r>
      <w:r w:rsidR="0022048D" w:rsidRPr="00A12D65">
        <w:rPr>
          <w:rFonts w:ascii="Times New Roman" w:hAnsi="Times New Roman" w:cs="Times New Roman"/>
          <w:sz w:val="20"/>
          <w:szCs w:val="20"/>
        </w:rPr>
        <w:t xml:space="preserve">chứng nhận </w:t>
      </w:r>
      <w:r w:rsidRPr="00A12D65">
        <w:rPr>
          <w:rFonts w:ascii="Times New Roman" w:hAnsi="Times New Roman" w:cs="Times New Roman"/>
          <w:sz w:val="20"/>
          <w:szCs w:val="20"/>
        </w:rPr>
        <w:t xml:space="preserve">đăng ký lập </w:t>
      </w:r>
      <w:r w:rsidR="0022048D" w:rsidRPr="00A12D65">
        <w:rPr>
          <w:rFonts w:ascii="Times New Roman" w:hAnsi="Times New Roman" w:cs="Times New Roman"/>
          <w:sz w:val="20"/>
          <w:szCs w:val="20"/>
        </w:rPr>
        <w:t>Q</w:t>
      </w:r>
      <w:r w:rsidRPr="00A12D65">
        <w:rPr>
          <w:rFonts w:ascii="Times New Roman" w:hAnsi="Times New Roman" w:cs="Times New Roman"/>
          <w:sz w:val="20"/>
          <w:szCs w:val="20"/>
        </w:rPr>
        <w:t>uỹ đại chúng số 15/GCN-UBCK ngày 26 tháng 09 năm 2014</w:t>
      </w:r>
      <w:r w:rsidR="00FE17C2" w:rsidRPr="00A12D65">
        <w:rPr>
          <w:rFonts w:ascii="Times New Roman" w:hAnsi="Times New Roman" w:cs="Times New Roman"/>
          <w:sz w:val="20"/>
          <w:szCs w:val="20"/>
        </w:rPr>
        <w:t xml:space="preserve"> và được cấp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 xml:space="preserve">iấy chứng nhận về việc điều chỉnh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 chứng nhận đăng ký lập Quỹ đại chúng vào ngày 16 tháng 06 năm 2017.</w:t>
      </w:r>
    </w:p>
    <w:p w14:paraId="3386E153"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Địa chỉ liên hệ của Quỹ</w:t>
      </w:r>
    </w:p>
    <w:p w14:paraId="587F0558" w14:textId="77777777" w:rsidR="00B71FF1"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Tầng 5, 1C Ngô Quyền, Phường Lý Thái Tổ, Quận Hoàn Kiếm, Hà Nội,</w:t>
      </w:r>
      <w:r w:rsidR="004405F5" w:rsidRPr="00A12D65">
        <w:rPr>
          <w:rFonts w:ascii="Times New Roman" w:hAnsi="Times New Roman" w:cs="Times New Roman"/>
          <w:sz w:val="20"/>
          <w:szCs w:val="20"/>
        </w:rPr>
        <w:t xml:space="preserve"> Việt Nam.</w:t>
      </w:r>
    </w:p>
    <w:p w14:paraId="1BFCDE4B"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Những đặc điểm chính về hoạt động Quỹ mở</w:t>
      </w:r>
    </w:p>
    <w:p w14:paraId="4EE8B2D2" w14:textId="2AB7C56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Quy mô vốn Quỹ mở</w:t>
      </w:r>
    </w:p>
    <w:p w14:paraId="5020F862" w14:textId="03B81E29" w:rsidR="004405F5" w:rsidRPr="00A12D65" w:rsidRDefault="00B03E94" w:rsidP="00834395">
      <w:pPr>
        <w:pStyle w:val="ListParagraph"/>
        <w:numPr>
          <w:ilvl w:val="0"/>
          <w:numId w:val="18"/>
        </w:numPr>
        <w:spacing w:before="120" w:after="12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Vốn điều lệ của Quỹ là 111.922.428.800 </w:t>
      </w:r>
      <w:r w:rsidR="00E0624F" w:rsidRPr="00A12D65">
        <w:rPr>
          <w:rFonts w:ascii="Times New Roman" w:hAnsi="Times New Roman" w:cs="Times New Roman"/>
          <w:sz w:val="20"/>
          <w:szCs w:val="20"/>
        </w:rPr>
        <w:t>đồng</w:t>
      </w:r>
      <w:r w:rsidRPr="00A12D65">
        <w:rPr>
          <w:rFonts w:ascii="Times New Roman" w:hAnsi="Times New Roman" w:cs="Times New Roman"/>
          <w:sz w:val="20"/>
          <w:szCs w:val="20"/>
        </w:rPr>
        <w:t xml:space="preserve">, mệnh giá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là 10.000 đồng</w:t>
      </w:r>
      <w:r w:rsidR="004405F5" w:rsidRPr="00A12D65">
        <w:rPr>
          <w:rFonts w:ascii="Times New Roman" w:hAnsi="Times New Roman" w:cs="Times New Roman"/>
          <w:sz w:val="20"/>
          <w:szCs w:val="20"/>
        </w:rPr>
        <w:t>.</w:t>
      </w:r>
    </w:p>
    <w:p w14:paraId="1BE59621" w14:textId="37C60D72" w:rsidR="00D52DFC" w:rsidRPr="00AB7FFB"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3149F2">
        <w:rPr>
          <w:rFonts w:ascii="Times New Roman" w:hAnsi="Times New Roman" w:cs="Times New Roman"/>
          <w:sz w:val="20"/>
          <w:szCs w:val="20"/>
        </w:rPr>
        <w:t>Quy mô vốn c</w:t>
      </w:r>
      <w:r w:rsidRPr="00AB7FFB">
        <w:rPr>
          <w:rFonts w:ascii="Times New Roman" w:hAnsi="Times New Roman" w:cs="Times New Roman"/>
          <w:sz w:val="20"/>
          <w:szCs w:val="20"/>
        </w:rPr>
        <w:t xml:space="preserve">ủa Quỹ tại ngày lập báo cáo tài chính là: </w:t>
      </w:r>
      <w:r w:rsidR="0044257C">
        <w:rPr>
          <w:rFonts w:ascii="Times New Roman" w:hAnsi="Times New Roman" w:cs="Times New Roman"/>
          <w:sz w:val="20"/>
          <w:szCs w:val="20"/>
        </w:rPr>
        <w:t>154</w:t>
      </w:r>
      <w:r w:rsidR="00775D3B" w:rsidRPr="00196B8B">
        <w:rPr>
          <w:rFonts w:ascii="Times New Roman" w:hAnsi="Times New Roman" w:cs="Times New Roman"/>
          <w:sz w:val="20"/>
          <w:szCs w:val="20"/>
        </w:rPr>
        <w:t>.</w:t>
      </w:r>
      <w:r w:rsidR="0044257C">
        <w:rPr>
          <w:rFonts w:ascii="Times New Roman" w:hAnsi="Times New Roman" w:cs="Times New Roman"/>
          <w:sz w:val="20"/>
          <w:szCs w:val="20"/>
        </w:rPr>
        <w:t>863</w:t>
      </w:r>
      <w:r w:rsidR="00775D3B" w:rsidRPr="00196B8B">
        <w:rPr>
          <w:rFonts w:ascii="Times New Roman" w:hAnsi="Times New Roman" w:cs="Times New Roman"/>
          <w:sz w:val="20"/>
          <w:szCs w:val="20"/>
        </w:rPr>
        <w:t>.</w:t>
      </w:r>
      <w:r w:rsidR="0044257C">
        <w:rPr>
          <w:rFonts w:ascii="Times New Roman" w:hAnsi="Times New Roman" w:cs="Times New Roman"/>
          <w:sz w:val="20"/>
          <w:szCs w:val="20"/>
        </w:rPr>
        <w:t>609</w:t>
      </w:r>
      <w:r w:rsidR="00775D3B" w:rsidRPr="00196B8B">
        <w:rPr>
          <w:rFonts w:ascii="Times New Roman" w:hAnsi="Times New Roman" w:cs="Times New Roman"/>
          <w:sz w:val="20"/>
          <w:szCs w:val="20"/>
        </w:rPr>
        <w:t>.</w:t>
      </w:r>
      <w:r w:rsidR="0044257C">
        <w:rPr>
          <w:rFonts w:ascii="Times New Roman" w:hAnsi="Times New Roman" w:cs="Times New Roman"/>
          <w:sz w:val="20"/>
          <w:szCs w:val="20"/>
        </w:rPr>
        <w:t>4</w:t>
      </w:r>
      <w:r w:rsidR="00F66A80">
        <w:rPr>
          <w:rFonts w:ascii="Times New Roman" w:hAnsi="Times New Roman" w:cs="Times New Roman"/>
          <w:sz w:val="20"/>
          <w:szCs w:val="20"/>
        </w:rPr>
        <w:t>00</w:t>
      </w:r>
      <w:r w:rsidR="00775D3B" w:rsidRPr="00775D3B">
        <w:rPr>
          <w:rFonts w:ascii="Times New Roman" w:hAnsi="Times New Roman" w:cs="Times New Roman"/>
          <w:sz w:val="20"/>
          <w:szCs w:val="20"/>
        </w:rPr>
        <w:t xml:space="preserve"> </w:t>
      </w:r>
      <w:r w:rsidR="00E0624F" w:rsidRPr="00AB7FFB">
        <w:rPr>
          <w:rFonts w:ascii="Times New Roman" w:hAnsi="Times New Roman" w:cs="Times New Roman"/>
          <w:sz w:val="20"/>
          <w:szCs w:val="20"/>
        </w:rPr>
        <w:t>đồng</w:t>
      </w:r>
      <w:r w:rsidR="00E23C1D" w:rsidRPr="00AB7FFB">
        <w:rPr>
          <w:rFonts w:ascii="Times New Roman" w:hAnsi="Times New Roman" w:cs="Times New Roman"/>
          <w:sz w:val="20"/>
          <w:szCs w:val="20"/>
        </w:rPr>
        <w:t xml:space="preserve"> </w:t>
      </w:r>
      <w:r w:rsidR="00AF42DE" w:rsidRPr="00AB7FFB">
        <w:rPr>
          <w:rFonts w:ascii="Times New Roman" w:hAnsi="Times New Roman" w:cs="Times New Roman"/>
          <w:sz w:val="20"/>
          <w:szCs w:val="20"/>
        </w:rPr>
        <w:t>tính theo mệnh giá.</w:t>
      </w:r>
      <w:r w:rsidRPr="00AB7FFB">
        <w:rPr>
          <w:rFonts w:ascii="Times New Roman" w:hAnsi="Times New Roman" w:cs="Times New Roman"/>
          <w:sz w:val="20"/>
          <w:szCs w:val="20"/>
        </w:rPr>
        <w:t xml:space="preserve"> </w:t>
      </w:r>
    </w:p>
    <w:p w14:paraId="31E95C31" w14:textId="768ABA71" w:rsidR="00A3183A" w:rsidRPr="000D53DB"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r w:rsidRPr="000D53DB">
        <w:rPr>
          <w:rFonts w:ascii="Times New Roman" w:hAnsi="Times New Roman" w:cs="Times New Roman"/>
          <w:sz w:val="20"/>
          <w:szCs w:val="20"/>
        </w:rPr>
        <w:t xml:space="preserve">Kỳ tính giá trị tài sản ròng (“NAV”): </w:t>
      </w:r>
      <w:r w:rsidR="004C199C" w:rsidRPr="000D53DB">
        <w:rPr>
          <w:rFonts w:ascii="Times New Roman" w:hAnsi="Times New Roman" w:cs="Times New Roman"/>
          <w:sz w:val="20"/>
          <w:szCs w:val="20"/>
        </w:rPr>
        <w:t>NAV</w:t>
      </w:r>
      <w:r w:rsidR="001E148B" w:rsidRPr="000D53DB">
        <w:rPr>
          <w:rFonts w:ascii="Times New Roman" w:hAnsi="Times New Roman" w:cs="Times New Roman"/>
          <w:sz w:val="20"/>
          <w:szCs w:val="20"/>
        </w:rPr>
        <w:t xml:space="preserve"> được xác định </w:t>
      </w:r>
      <w:r w:rsidR="0084767F" w:rsidRPr="000D53DB">
        <w:rPr>
          <w:rFonts w:ascii="Times New Roman" w:hAnsi="Times New Roman" w:cs="Times New Roman"/>
          <w:sz w:val="20"/>
          <w:szCs w:val="20"/>
        </w:rPr>
        <w:t>định kỳ vào các Ngày Định Giá</w:t>
      </w:r>
      <w:r w:rsidR="00A3183A" w:rsidRPr="000D53DB">
        <w:rPr>
          <w:rFonts w:ascii="Times New Roman" w:hAnsi="Times New Roman" w:cs="Times New Roman"/>
          <w:sz w:val="20"/>
          <w:szCs w:val="20"/>
        </w:rPr>
        <w:t xml:space="preserve">. Đối với kỳ định giá hàng tháng, </w:t>
      </w:r>
      <w:r w:rsidR="004C199C" w:rsidRPr="000D53DB">
        <w:rPr>
          <w:rFonts w:ascii="Times New Roman" w:hAnsi="Times New Roman" w:cs="Times New Roman"/>
          <w:sz w:val="20"/>
          <w:szCs w:val="20"/>
        </w:rPr>
        <w:t>NAV</w:t>
      </w:r>
      <w:r w:rsidR="00A3183A" w:rsidRPr="000D53DB">
        <w:rPr>
          <w:rFonts w:ascii="Times New Roman" w:hAnsi="Times New Roman" w:cs="Times New Roman"/>
          <w:sz w:val="20"/>
          <w:szCs w:val="20"/>
        </w:rPr>
        <w:t xml:space="preserve"> được xác định vào ngày </w:t>
      </w:r>
      <w:r w:rsidR="002E39B4" w:rsidRPr="000D53DB">
        <w:rPr>
          <w:rFonts w:ascii="Times New Roman" w:hAnsi="Times New Roman" w:cs="Times New Roman"/>
          <w:sz w:val="20"/>
          <w:szCs w:val="20"/>
        </w:rPr>
        <w:t>đầu tiên của tháng tiếp theo</w:t>
      </w:r>
      <w:r w:rsidR="00A3183A" w:rsidRPr="000D53DB">
        <w:rPr>
          <w:rFonts w:ascii="Times New Roman" w:hAnsi="Times New Roman" w:cs="Times New Roman"/>
          <w:sz w:val="20"/>
          <w:szCs w:val="20"/>
        </w:rPr>
        <w:t>.</w:t>
      </w:r>
    </w:p>
    <w:p w14:paraId="60828A3B" w14:textId="5D7C2B07" w:rsidR="004405F5" w:rsidRPr="00A12D6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Tần suất giao dịch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mở</w:t>
      </w:r>
      <w:r w:rsidR="001E148B" w:rsidRPr="00A12D65">
        <w:rPr>
          <w:rFonts w:ascii="Times New Roman" w:hAnsi="Times New Roman" w:cs="Times New Roman"/>
          <w:sz w:val="20"/>
          <w:szCs w:val="20"/>
        </w:rPr>
        <w:t xml:space="preserve"> là h</w:t>
      </w:r>
      <w:r w:rsidR="00732E64" w:rsidRPr="00A12D65">
        <w:rPr>
          <w:rFonts w:ascii="Times New Roman" w:hAnsi="Times New Roman" w:cs="Times New Roman"/>
          <w:sz w:val="20"/>
          <w:szCs w:val="20"/>
        </w:rPr>
        <w:t>à</w:t>
      </w:r>
      <w:r w:rsidR="001E148B" w:rsidRPr="00A12D65">
        <w:rPr>
          <w:rFonts w:ascii="Times New Roman" w:hAnsi="Times New Roman" w:cs="Times New Roman"/>
          <w:sz w:val="20"/>
          <w:szCs w:val="20"/>
        </w:rPr>
        <w:t>ng ngày</w:t>
      </w:r>
      <w:r w:rsidR="005E3DCF">
        <w:rPr>
          <w:rFonts w:ascii="Times New Roman" w:hAnsi="Times New Roman" w:cs="Times New Roman"/>
          <w:sz w:val="20"/>
          <w:szCs w:val="20"/>
        </w:rPr>
        <w:t xml:space="preserve">, </w:t>
      </w:r>
      <w:r w:rsidR="005E3DCF" w:rsidRPr="005E3DCF">
        <w:rPr>
          <w:rFonts w:ascii="Times New Roman" w:hAnsi="Times New Roman" w:cs="Times New Roman"/>
          <w:sz w:val="20"/>
          <w:szCs w:val="20"/>
        </w:rPr>
        <w:t>vào các ngày làm việc từ thứ Hai đến thứ Sáu (“Ngày Giao Dịch”)</w:t>
      </w:r>
      <w:r w:rsidR="001E148B" w:rsidRPr="00A12D65">
        <w:rPr>
          <w:rFonts w:ascii="Times New Roman" w:hAnsi="Times New Roman" w:cs="Times New Roman"/>
          <w:sz w:val="20"/>
          <w:szCs w:val="20"/>
        </w:rPr>
        <w:t>.</w:t>
      </w:r>
    </w:p>
    <w:p w14:paraId="0AFDEFC0" w14:textId="1B515CE5" w:rsidR="002009B8" w:rsidRPr="00A12D65" w:rsidRDefault="002009B8"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Trong trường hợp Ngày Giao Dịch rơi vào ngày nghỉ lễ thì </w:t>
      </w:r>
      <w:r w:rsidR="00F86ECB" w:rsidRPr="00A12D65">
        <w:rPr>
          <w:rFonts w:ascii="Times New Roman" w:hAnsi="Times New Roman" w:cs="Times New Roman"/>
          <w:sz w:val="20"/>
          <w:szCs w:val="20"/>
        </w:rPr>
        <w:t xml:space="preserve">Công </w:t>
      </w:r>
      <w:r w:rsidR="002E39B4" w:rsidRPr="00A12D65">
        <w:rPr>
          <w:rFonts w:ascii="Times New Roman" w:hAnsi="Times New Roman" w:cs="Times New Roman"/>
          <w:sz w:val="20"/>
          <w:szCs w:val="20"/>
        </w:rPr>
        <w:t>t</w:t>
      </w:r>
      <w:r w:rsidR="00F86ECB" w:rsidRPr="00A12D65">
        <w:rPr>
          <w:rFonts w:ascii="Times New Roman" w:hAnsi="Times New Roman" w:cs="Times New Roman"/>
          <w:sz w:val="20"/>
          <w:szCs w:val="20"/>
        </w:rPr>
        <w:t xml:space="preserve">y Quản </w:t>
      </w:r>
      <w:r w:rsidR="002E39B4" w:rsidRPr="00A12D65">
        <w:rPr>
          <w:rFonts w:ascii="Times New Roman" w:hAnsi="Times New Roman" w:cs="Times New Roman"/>
          <w:sz w:val="20"/>
          <w:szCs w:val="20"/>
        </w:rPr>
        <w:t>l</w:t>
      </w:r>
      <w:r w:rsidR="00F86ECB" w:rsidRPr="00A12D65">
        <w:rPr>
          <w:rFonts w:ascii="Times New Roman" w:hAnsi="Times New Roman" w:cs="Times New Roman"/>
          <w:sz w:val="20"/>
          <w:szCs w:val="20"/>
        </w:rPr>
        <w:t xml:space="preserve">ý Quỹ sẽ thông báo đến </w:t>
      </w:r>
      <w:r w:rsidR="00F170DF" w:rsidRPr="00A12D65">
        <w:rPr>
          <w:rFonts w:ascii="Times New Roman" w:hAnsi="Times New Roman" w:cs="Times New Roman"/>
          <w:sz w:val="20"/>
          <w:szCs w:val="20"/>
        </w:rPr>
        <w:t>Nhà Đầu Tư</w:t>
      </w:r>
      <w:r w:rsidR="00F86ECB" w:rsidRPr="00A12D65">
        <w:rPr>
          <w:rFonts w:ascii="Times New Roman" w:hAnsi="Times New Roman" w:cs="Times New Roman"/>
          <w:sz w:val="20"/>
          <w:szCs w:val="20"/>
        </w:rPr>
        <w:t>, Đại Lý Phân Phối và các tổ chức cung cấp dịch vụ có liên quan và công bố trên trang thông tin điện tử của Công Ty Quản Lý Quỹ.</w:t>
      </w:r>
    </w:p>
    <w:p w14:paraId="4AE344F5" w14:textId="77777777" w:rsidR="004624CD" w:rsidRPr="00A12D65" w:rsidRDefault="004624CD"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Mục tiêu đầu tư</w:t>
      </w:r>
    </w:p>
    <w:p w14:paraId="0BD94B4A" w14:textId="222F2D4A" w:rsidR="00A3183A" w:rsidRPr="00A12D65" w:rsidRDefault="00A3183A"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Mục tiêu đầu tư của Quỹ là tăng trưởng giá trị tài sản ròng dài hạn và tạo thu nhập ổn đị</w:t>
      </w:r>
      <w:r w:rsidR="002009B8" w:rsidRPr="00A12D65">
        <w:rPr>
          <w:rFonts w:ascii="Times New Roman" w:hAnsi="Times New Roman" w:cs="Times New Roman"/>
          <w:sz w:val="20"/>
          <w:szCs w:val="20"/>
        </w:rPr>
        <w:t xml:space="preserve">nh cho </w:t>
      </w:r>
      <w:r w:rsidR="00F170DF" w:rsidRPr="00A12D65">
        <w:rPr>
          <w:rFonts w:ascii="Times New Roman" w:hAnsi="Times New Roman" w:cs="Times New Roman"/>
          <w:sz w:val="20"/>
          <w:szCs w:val="20"/>
        </w:rPr>
        <w:t>Nhà Đầu Tư</w:t>
      </w:r>
      <w:r w:rsidRPr="00A12D65">
        <w:rPr>
          <w:rFonts w:ascii="Times New Roman" w:hAnsi="Times New Roman" w:cs="Times New Roman"/>
          <w:sz w:val="20"/>
          <w:szCs w:val="20"/>
        </w:rPr>
        <w:t xml:space="preserve"> thông qua việc đầu tư vào các cổ phiếu của các công ty có lợi thế cạnh trạnh bền vững và các tài sản có thu nhập cố định.</w:t>
      </w:r>
    </w:p>
    <w:p w14:paraId="2A2A1905" w14:textId="7777777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Hạn chế đầu tư của Quỹ mở</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Danh mục đầu tư của Quỹ và các hạn chế đầu tư phải phù hợp với các mục tiêu và chính sách đầu tư đã được quy định rõ trong Điều lệ Quỹ và Bản cáo bạch</w:t>
      </w:r>
      <w:r w:rsidR="009373F0" w:rsidRPr="00A12D65">
        <w:rPr>
          <w:rFonts w:ascii="Times New Roman" w:hAnsi="Times New Roman" w:cs="Times New Roman"/>
          <w:sz w:val="20"/>
          <w:szCs w:val="20"/>
        </w:rPr>
        <w:t>.</w:t>
      </w:r>
    </w:p>
    <w:p w14:paraId="46C3027A"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Cơ cấu danh mục đầu tư của Quỹ phải đảm bảo các quy định sau:</w:t>
      </w:r>
    </w:p>
    <w:p w14:paraId="4242CB4D" w14:textId="64AB28F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Trừ tiền gửi trên tài khoản thanh toán</w:t>
      </w:r>
      <w:r w:rsidR="000836E6">
        <w:rPr>
          <w:rFonts w:ascii="Times New Roman" w:hAnsi="Times New Roman" w:cs="Times New Roman"/>
          <w:sz w:val="20"/>
          <w:szCs w:val="20"/>
        </w:rPr>
        <w:t xml:space="preserve"> của Quỹ</w:t>
      </w:r>
      <w:r w:rsidRPr="003A3354">
        <w:rPr>
          <w:rFonts w:ascii="Times New Roman" w:hAnsi="Times New Roman" w:cs="Times New Roman"/>
          <w:sz w:val="20"/>
          <w:szCs w:val="20"/>
        </w:rPr>
        <w:t xml:space="preserve"> tại Ngân hàng giám sát, Quỹ không được </w:t>
      </w:r>
      <w:r w:rsidR="000836E6">
        <w:rPr>
          <w:rFonts w:ascii="Times New Roman" w:hAnsi="Times New Roman" w:cs="Times New Roman"/>
          <w:sz w:val="20"/>
          <w:szCs w:val="20"/>
        </w:rPr>
        <w:t>đầu tư</w:t>
      </w:r>
      <w:r w:rsidRPr="003A3354">
        <w:rPr>
          <w:rFonts w:ascii="Times New Roman" w:hAnsi="Times New Roman" w:cs="Times New Roman"/>
          <w:sz w:val="20"/>
          <w:szCs w:val="20"/>
        </w:rPr>
        <w:t xml:space="preserve"> quá bốn mươi chính phần trăm (49%) tổng giá trị tài sản của quỹ vào các tài sản quy định tại điểm a, b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177E1FAB" w14:textId="7B4B495F"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Không được đầu tư quá ba mươi phần trăm (30%) tổng giá trị tài sản của </w:t>
      </w:r>
      <w:r w:rsidR="00EB5117">
        <w:rPr>
          <w:rFonts w:ascii="Times New Roman" w:hAnsi="Times New Roman" w:cs="Times New Roman"/>
          <w:sz w:val="20"/>
          <w:szCs w:val="20"/>
        </w:rPr>
        <w:t>Q</w:t>
      </w:r>
      <w:r w:rsidRPr="003A3354">
        <w:rPr>
          <w:rFonts w:ascii="Times New Roman" w:hAnsi="Times New Roman" w:cs="Times New Roman"/>
          <w:sz w:val="20"/>
          <w:szCs w:val="20"/>
        </w:rPr>
        <w:t xml:space="preserve">uỹ vào các tài sản quy định tại Điểm a, b, d, e và f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 phát hành bởi một công ty hoặc một nhóm công ty có quan hệ sở hữu với nhau</w:t>
      </w:r>
      <w:r w:rsidR="000836E6">
        <w:rPr>
          <w:rFonts w:ascii="Times New Roman" w:hAnsi="Times New Roman" w:cs="Times New Roman"/>
          <w:sz w:val="20"/>
          <w:szCs w:val="20"/>
        </w:rPr>
        <w:t xml:space="preserve"> thuộc các trường hợp sau đây: công ty mẹ, công ty con</w:t>
      </w:r>
      <w:r w:rsidRPr="003A3354">
        <w:rPr>
          <w:rFonts w:ascii="Times New Roman" w:hAnsi="Times New Roman" w:cs="Times New Roman"/>
          <w:sz w:val="20"/>
          <w:szCs w:val="20"/>
        </w:rPr>
        <w:t>;</w:t>
      </w:r>
      <w:r w:rsidR="000836E6">
        <w:rPr>
          <w:rFonts w:ascii="Times New Roman" w:hAnsi="Times New Roman" w:cs="Times New Roman"/>
          <w:sz w:val="20"/>
          <w:szCs w:val="20"/>
        </w:rPr>
        <w:t xml:space="preserve"> các công ty sở hữu trên 35%</w:t>
      </w:r>
      <w:r w:rsidRPr="003A3354">
        <w:rPr>
          <w:rFonts w:ascii="Times New Roman" w:hAnsi="Times New Roman" w:cs="Times New Roman"/>
          <w:sz w:val="20"/>
          <w:szCs w:val="20"/>
        </w:rPr>
        <w:t xml:space="preserve"> </w:t>
      </w:r>
      <w:r w:rsidR="000836E6">
        <w:rPr>
          <w:rFonts w:ascii="Times New Roman" w:hAnsi="Times New Roman" w:cs="Times New Roman"/>
          <w:sz w:val="20"/>
          <w:szCs w:val="20"/>
        </w:rPr>
        <w:t>cổ phần, phần vốn góp của nhau; nhóm công ty con có cùng một công ty mẹ. T</w:t>
      </w:r>
      <w:r w:rsidRPr="003A3354">
        <w:rPr>
          <w:rFonts w:ascii="Times New Roman" w:hAnsi="Times New Roman" w:cs="Times New Roman"/>
          <w:sz w:val="20"/>
          <w:szCs w:val="20"/>
        </w:rPr>
        <w:t>rong đó phần đầu tư vào chứng khoán phái sinh là giá trị cam kết của hợp đồng xác định theo quy định hiện hành;</w:t>
      </w:r>
    </w:p>
    <w:p w14:paraId="5C919CAA" w14:textId="6108A854"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lastRenderedPageBreak/>
        <w:t>c)</w:t>
      </w:r>
      <w:r w:rsidRPr="003A3354">
        <w:rPr>
          <w:rFonts w:ascii="Times New Roman" w:hAnsi="Times New Roman" w:cs="Times New Roman"/>
          <w:sz w:val="20"/>
          <w:szCs w:val="20"/>
        </w:rPr>
        <w:tab/>
        <w:t xml:space="preserve">Không được đầu tư quá hai mươi phần trăm (20%) tổng giá trị tài sản của Quỹ vào chứng khoán đang lưu hành </w:t>
      </w:r>
      <w:r w:rsidR="000836E6">
        <w:rPr>
          <w:rFonts w:ascii="Times New Roman" w:hAnsi="Times New Roman" w:cs="Times New Roman"/>
          <w:sz w:val="20"/>
          <w:szCs w:val="20"/>
        </w:rPr>
        <w:t>và các tài sản (nếu có) quy định tại Điểm a,</w:t>
      </w:r>
      <w:r w:rsidR="003F0BD3">
        <w:rPr>
          <w:rFonts w:ascii="Times New Roman" w:hAnsi="Times New Roman" w:cs="Times New Roman"/>
          <w:sz w:val="20"/>
          <w:szCs w:val="20"/>
        </w:rPr>
        <w:t xml:space="preserve"> </w:t>
      </w:r>
      <w:r w:rsidR="000836E6">
        <w:rPr>
          <w:rFonts w:ascii="Times New Roman" w:hAnsi="Times New Roman" w:cs="Times New Roman"/>
          <w:sz w:val="20"/>
          <w:szCs w:val="20"/>
        </w:rPr>
        <w:t>b Khoản 3 Điều 9</w:t>
      </w:r>
      <w:r w:rsidR="00F240B6">
        <w:rPr>
          <w:rFonts w:ascii="Times New Roman" w:hAnsi="Times New Roman" w:cs="Times New Roman"/>
          <w:sz w:val="20"/>
          <w:szCs w:val="20"/>
        </w:rPr>
        <w:t xml:space="preserve"> Điều lệ Quỹ của một tổ chức phát hành, trừ công cụ nợ của Chính Phủ</w:t>
      </w:r>
      <w:r w:rsidRPr="003A3354">
        <w:rPr>
          <w:rFonts w:ascii="Times New Roman" w:hAnsi="Times New Roman" w:cs="Times New Roman"/>
          <w:sz w:val="20"/>
          <w:szCs w:val="20"/>
        </w:rPr>
        <w:t>;</w:t>
      </w:r>
    </w:p>
    <w:p w14:paraId="593412C7" w14:textId="008AF458"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d)</w:t>
      </w:r>
      <w:r w:rsidRPr="003A3354">
        <w:rPr>
          <w:rFonts w:ascii="Times New Roman" w:hAnsi="Times New Roman" w:cs="Times New Roman"/>
          <w:sz w:val="20"/>
          <w:szCs w:val="20"/>
        </w:rPr>
        <w:tab/>
        <w:t xml:space="preserve">Không được đầu tư vào chứng khoán của một tổ chức phát hành quá mười phần trăm (10%) tổng giá trị chứng khoán đang lưu hành của tổ chức đó, trừ </w:t>
      </w:r>
      <w:r w:rsidR="00F240B6">
        <w:rPr>
          <w:rFonts w:ascii="Times New Roman" w:hAnsi="Times New Roman" w:cs="Times New Roman"/>
          <w:sz w:val="20"/>
          <w:szCs w:val="20"/>
        </w:rPr>
        <w:t>công cụ nợ của</w:t>
      </w:r>
      <w:r w:rsidRPr="003A3354">
        <w:rPr>
          <w:rFonts w:ascii="Times New Roman" w:hAnsi="Times New Roman" w:cs="Times New Roman"/>
          <w:sz w:val="20"/>
          <w:szCs w:val="20"/>
        </w:rPr>
        <w:t xml:space="preserve"> Chính phủ;</w:t>
      </w:r>
    </w:p>
    <w:p w14:paraId="3DC14126" w14:textId="6DCC7F3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e)</w:t>
      </w:r>
      <w:r w:rsidRPr="003A3354">
        <w:rPr>
          <w:rFonts w:ascii="Times New Roman" w:hAnsi="Times New Roman" w:cs="Times New Roman"/>
          <w:sz w:val="20"/>
          <w:szCs w:val="20"/>
        </w:rPr>
        <w:tab/>
        <w:t xml:space="preserve">Không được đầu tư quá mười phần trăm (10%) tổng giá trị tài sản của Quỹ vào các tài sản quy định tại Điểm e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39ED1503" w14:textId="71369AF2"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f)</w:t>
      </w:r>
      <w:r w:rsidRPr="003A3354">
        <w:rPr>
          <w:rFonts w:ascii="Times New Roman" w:hAnsi="Times New Roman" w:cs="Times New Roman"/>
          <w:sz w:val="20"/>
          <w:szCs w:val="20"/>
        </w:rPr>
        <w:tab/>
        <w:t>Tổng giá trị các hạng mục đầu tư lớn trong danh mục đầu tư của quỹ không được vượt quá bốn mươi phần trăm (40%) tổng giá trị tài sản của Quỹ</w:t>
      </w:r>
      <w:r w:rsidR="00F240B6">
        <w:rPr>
          <w:rFonts w:ascii="Times New Roman" w:hAnsi="Times New Roman" w:cs="Times New Roman"/>
          <w:sz w:val="20"/>
          <w:szCs w:val="20"/>
        </w:rPr>
        <w:t>. Trong đó hạng mục đầu tư lớn của Quỹ là hạng mục đầu tư vào các loại tài sản quy định tại điểm b,</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d,</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e và g Khoản 3 Điều 9 Điều lệ Quỹ (ngoại trừ chứng chỉ tiền gửi) phát hành bởi cùng một tổ chức, có tổng giá trị chiếm từ 5% trở lên tổng giá trị tài sản của Quỹ;</w:t>
      </w:r>
    </w:p>
    <w:p w14:paraId="574BF57F"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g)</w:t>
      </w:r>
      <w:r w:rsidRPr="003A3354">
        <w:rPr>
          <w:rFonts w:ascii="Times New Roman" w:hAnsi="Times New Roman" w:cs="Times New Roman"/>
          <w:sz w:val="20"/>
          <w:szCs w:val="20"/>
        </w:rPr>
        <w:tab/>
        <w:t>Tại mọi thời điểm, tổng giá trị cam kết trong các giao dịch chứng khoán phái sinh, dư nợ vay và các khoản phải trả của Quỹ không được vượt quá giá trị tài sản ròng của Quỹ;</w:t>
      </w:r>
    </w:p>
    <w:p w14:paraId="1815E813" w14:textId="39B1885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h)</w:t>
      </w:r>
      <w:r w:rsidRPr="003A3354">
        <w:rPr>
          <w:rFonts w:ascii="Times New Roman" w:hAnsi="Times New Roman" w:cs="Times New Roman"/>
          <w:sz w:val="20"/>
          <w:szCs w:val="20"/>
        </w:rPr>
        <w:tab/>
      </w:r>
      <w:r w:rsidR="00F240B6">
        <w:rPr>
          <w:rFonts w:ascii="Times New Roman" w:hAnsi="Times New Roman" w:cs="Times New Roman"/>
          <w:sz w:val="20"/>
          <w:szCs w:val="20"/>
        </w:rPr>
        <w:t>Không được đầu tư vào Chứng chỉ quỹ của chính Quỹ</w:t>
      </w:r>
      <w:r w:rsidRPr="003A3354">
        <w:rPr>
          <w:rFonts w:ascii="Times New Roman" w:hAnsi="Times New Roman" w:cs="Times New Roman"/>
          <w:sz w:val="20"/>
          <w:szCs w:val="20"/>
        </w:rPr>
        <w:t>;</w:t>
      </w:r>
    </w:p>
    <w:p w14:paraId="1B74D9B3" w14:textId="7F48C4D4" w:rsid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i)</w:t>
      </w:r>
      <w:r w:rsidRPr="003A3354">
        <w:rPr>
          <w:rFonts w:ascii="Times New Roman" w:hAnsi="Times New Roman" w:cs="Times New Roman"/>
          <w:sz w:val="20"/>
          <w:szCs w:val="20"/>
        </w:rPr>
        <w:tab/>
      </w:r>
      <w:r w:rsidR="00F240B6">
        <w:rPr>
          <w:rFonts w:ascii="Times New Roman" w:hAnsi="Times New Roman" w:cs="Times New Roman"/>
          <w:sz w:val="20"/>
          <w:szCs w:val="20"/>
        </w:rPr>
        <w:t xml:space="preserve">Chỉ được đầu tư vào chứng chỉ quỹ đại chúng khác, công ty chứng khoán đại chúng do công ty quản lý quỹ khác quản lý và đảm bảo các hạn chế </w:t>
      </w:r>
      <w:r w:rsidR="00AC092F">
        <w:rPr>
          <w:rFonts w:ascii="Times New Roman" w:hAnsi="Times New Roman" w:cs="Times New Roman"/>
          <w:sz w:val="20"/>
          <w:szCs w:val="20"/>
        </w:rPr>
        <w:t>sau:</w:t>
      </w:r>
    </w:p>
    <w:p w14:paraId="5C233652"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vào quá 10% tổng số chứng chỉ quỹ đang lưu hành của một quỹ đại chúng, cổ phiếu đang lưu hành của một công ty đầu tư chứng khoán đại chúng; </w:t>
      </w:r>
    </w:p>
    <w:p w14:paraId="4DE7C1B4"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quá 20% tổng giá trị tài sản của Quỹ vào chứng chỉ quỹ của một quỹ đại chúng, cổ phiếu của một công ty đầu tư chứng khoán đại chúng;  </w:t>
      </w:r>
    </w:p>
    <w:p w14:paraId="4EFEEF08"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lang w:val="pt-BR"/>
        </w:rPr>
      </w:pPr>
      <w:r w:rsidRPr="00E04126">
        <w:rPr>
          <w:rFonts w:ascii="Times New Roman" w:eastAsia="Calibri" w:hAnsi="Times New Roman" w:cs="Times New Roman"/>
          <w:sz w:val="20"/>
          <w:szCs w:val="20"/>
        </w:rPr>
        <w:t xml:space="preserve">Không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quá 30% tổng giá trị tài sản của </w:t>
      </w:r>
      <w:r w:rsidRPr="00E04126">
        <w:rPr>
          <w:rFonts w:ascii="Times New Roman" w:hAnsi="Times New Roman" w:cs="Times New Roman"/>
          <w:sz w:val="20"/>
          <w:szCs w:val="20"/>
        </w:rPr>
        <w:t>Q</w:t>
      </w:r>
      <w:r w:rsidRPr="00E04126">
        <w:rPr>
          <w:rFonts w:ascii="Times New Roman" w:eastAsia="Calibri" w:hAnsi="Times New Roman" w:cs="Times New Roman"/>
          <w:sz w:val="20"/>
          <w:szCs w:val="20"/>
        </w:rPr>
        <w:t xml:space="preserve">uỹ vào các chứng chỉ quỹ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 xml:space="preserve">ại chúng, cổ phiếu công ty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chứng khoán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 chúng;</w:t>
      </w:r>
    </w:p>
    <w:p w14:paraId="3B156AEA" w14:textId="689FFB6E" w:rsidR="00F240B6"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j)     Không được đầu tư trực tiếp vào bất động sản, đá quý, kim loại quý hiếm;</w:t>
      </w:r>
    </w:p>
    <w:p w14:paraId="6CD075BA" w14:textId="25B3F46D"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k</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Phải có chứng khoán của ít nhất sáu (06) tổ chức phát hành, trừ trường hợp quỹ trái phiếu. </w:t>
      </w:r>
    </w:p>
    <w:p w14:paraId="14414846" w14:textId="0440DEAF" w:rsidR="003A3354" w:rsidRPr="003A3354" w:rsidRDefault="008C7F5E" w:rsidP="003A3354">
      <w:pPr>
        <w:spacing w:before="120" w:after="120"/>
        <w:ind w:left="360"/>
        <w:jc w:val="both"/>
        <w:rPr>
          <w:rFonts w:ascii="Times New Roman" w:hAnsi="Times New Roman" w:cs="Times New Roman"/>
          <w:sz w:val="20"/>
          <w:szCs w:val="20"/>
        </w:rPr>
      </w:pPr>
      <w:r w:rsidRPr="008C7F5E">
        <w:rPr>
          <w:rFonts w:ascii="Times New Roman" w:hAnsi="Times New Roman" w:cs="Times New Roman"/>
          <w:sz w:val="20"/>
          <w:szCs w:val="20"/>
        </w:rPr>
        <w:t xml:space="preserve">Cơ cấu đầu tư của Quỹ chỉ được vượt mức so với các hạn chế đầu tư đã quy định tại Điểm a, b, c, d, e, f và i </w:t>
      </w:r>
      <w:r w:rsidR="00584DA3">
        <w:rPr>
          <w:rFonts w:ascii="Times New Roman" w:hAnsi="Times New Roman" w:cs="Times New Roman"/>
          <w:sz w:val="20"/>
          <w:szCs w:val="20"/>
        </w:rPr>
        <w:t xml:space="preserve">nêu trên </w:t>
      </w:r>
      <w:r w:rsidR="00584DA3" w:rsidRPr="00584DA3">
        <w:rPr>
          <w:rFonts w:ascii="Times New Roman" w:hAnsi="Times New Roman" w:cs="Times New Roman"/>
          <w:sz w:val="20"/>
          <w:szCs w:val="20"/>
        </w:rPr>
        <w:t>và chỉ do các nguyên nhân như sau:</w:t>
      </w:r>
    </w:p>
    <w:p w14:paraId="277E67E5"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Biến động giá trên thị trường của tài sản trong danh mục đầu tư của Quỹ;</w:t>
      </w:r>
    </w:p>
    <w:p w14:paraId="37647417" w14:textId="73027B4E"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Thực hiện các khoản thanh toán </w:t>
      </w:r>
      <w:r w:rsidR="00F240B6">
        <w:rPr>
          <w:rFonts w:ascii="Times New Roman" w:hAnsi="Times New Roman" w:cs="Times New Roman"/>
          <w:sz w:val="20"/>
          <w:szCs w:val="20"/>
        </w:rPr>
        <w:t xml:space="preserve">của Quỹ theo quy định của </w:t>
      </w:r>
      <w:r w:rsidR="0084754E">
        <w:rPr>
          <w:rFonts w:ascii="Times New Roman" w:hAnsi="Times New Roman" w:cs="Times New Roman"/>
          <w:sz w:val="20"/>
          <w:szCs w:val="20"/>
        </w:rPr>
        <w:t>p</w:t>
      </w:r>
      <w:r w:rsidR="00F240B6">
        <w:rPr>
          <w:rFonts w:ascii="Times New Roman" w:hAnsi="Times New Roman" w:cs="Times New Roman"/>
          <w:sz w:val="20"/>
          <w:szCs w:val="20"/>
        </w:rPr>
        <w:t>háp luật, bao gồm việc thực hiện lệnh giao dịch của Nhà Đầu Tư</w:t>
      </w:r>
      <w:r w:rsidRPr="003A3354">
        <w:rPr>
          <w:rFonts w:ascii="Times New Roman" w:hAnsi="Times New Roman" w:cs="Times New Roman"/>
          <w:sz w:val="20"/>
          <w:szCs w:val="20"/>
        </w:rPr>
        <w:t>;</w:t>
      </w:r>
    </w:p>
    <w:p w14:paraId="0BF0E0B0" w14:textId="692875B2"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c</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Hoạt động </w:t>
      </w:r>
      <w:r>
        <w:rPr>
          <w:rFonts w:ascii="Times New Roman" w:hAnsi="Times New Roman" w:cs="Times New Roman"/>
          <w:sz w:val="20"/>
          <w:szCs w:val="20"/>
        </w:rPr>
        <w:t xml:space="preserve">chia, tách, </w:t>
      </w:r>
      <w:r w:rsidR="003A3354" w:rsidRPr="003A3354">
        <w:rPr>
          <w:rFonts w:ascii="Times New Roman" w:hAnsi="Times New Roman" w:cs="Times New Roman"/>
          <w:sz w:val="20"/>
          <w:szCs w:val="20"/>
        </w:rPr>
        <w:t>hợp nhất, sáp nhập các tổ chức phát hành;</w:t>
      </w:r>
    </w:p>
    <w:p w14:paraId="32E87DE8" w14:textId="3B673B5E"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d</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mới được cấp phép thành lập hoặc do tách quỹ, hợp nhất quỹ, sáp nhập quỹ mà thời gian hoạt động không quá sáu (06) tháng</w:t>
      </w:r>
      <w:r>
        <w:rPr>
          <w:rFonts w:ascii="Times New Roman" w:hAnsi="Times New Roman" w:cs="Times New Roman"/>
          <w:sz w:val="20"/>
          <w:szCs w:val="20"/>
        </w:rPr>
        <w:t xml:space="preserve"> kể từ ngày được cấp Giấy Chứng Nhận Đăng Ký Lập Quỹ hoặc Giấy Chứng Nhận Đăng Ký Lập Quỹ điều chỉnh;</w:t>
      </w:r>
    </w:p>
    <w:p w14:paraId="1C32E914" w14:textId="025D4EA9"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e</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đang trong thời gian giải thể.</w:t>
      </w:r>
    </w:p>
    <w:p w14:paraId="211EDFBE" w14:textId="766F494E" w:rsidR="009E1A7A" w:rsidRPr="003A3354" w:rsidRDefault="006247A2" w:rsidP="003A3354">
      <w:pPr>
        <w:spacing w:before="120" w:after="120"/>
        <w:ind w:left="360"/>
        <w:jc w:val="both"/>
        <w:rPr>
          <w:rFonts w:ascii="Times New Roman" w:hAnsi="Times New Roman" w:cs="Times New Roman"/>
          <w:sz w:val="20"/>
          <w:szCs w:val="20"/>
        </w:rPr>
      </w:pPr>
      <w:r w:rsidRPr="006247A2">
        <w:rPr>
          <w:rFonts w:ascii="Times New Roman" w:hAnsi="Times New Roman" w:cs="Times New Roman"/>
          <w:sz w:val="20"/>
          <w:szCs w:val="20"/>
        </w:rPr>
        <w:t xml:space="preserve">Trong thời hạn ba (03) tháng kể từ ngày có các sai lệch phát sinh do các nguyên nhân quy định tai Điểm a, b, c và d </w:t>
      </w:r>
      <w:r>
        <w:rPr>
          <w:rFonts w:ascii="Times New Roman" w:hAnsi="Times New Roman" w:cs="Times New Roman"/>
          <w:sz w:val="20"/>
          <w:szCs w:val="20"/>
        </w:rPr>
        <w:t>nêu trên</w:t>
      </w:r>
      <w:r w:rsidRPr="006247A2">
        <w:rPr>
          <w:rFonts w:ascii="Times New Roman" w:hAnsi="Times New Roman" w:cs="Times New Roman"/>
          <w:sz w:val="20"/>
          <w:szCs w:val="20"/>
        </w:rPr>
        <w:t>, Công Ty Quản Lý Quỹ có nghĩa vụ thông báo cho Ủy Ban Chứng Khoán Nhà Nước và điều chỉnh lại cơ cấu danh mục đầu tư cho phù hợp với quy định.</w:t>
      </w:r>
    </w:p>
    <w:p w14:paraId="42A0C866" w14:textId="186CB041" w:rsidR="00171F86" w:rsidRP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t xml:space="preserve">Trường hợp sai lệch do Công Ty Quản Lý Quỹ không tuân thủ các hạn chế đầu tư theo quy định của pháp luật hoặc Điều Lệ quỹ, Công Ty Quản Lý Quỹ có trách nhiệm điều chỉnh lại danh mục đầu tư trong thời hạn mười lăm (15) ngày, kể từ ngày phát hiện ra sai lệch. Công Ty Quản Lý Quỹ phải bồi thường thiệt hại cho Quỹ (nếu có) và chịu mọi chi phí phát sinh liên quan đến việc điều chỉnh lại danh mục đầu tư. Nếu phát sinh lợi nhuận, phải hạch toán ngay mọi khoản lợi nhuận có được cho Quỹ. </w:t>
      </w:r>
    </w:p>
    <w:p w14:paraId="6729B9BC" w14:textId="2D1FCBBF" w:rsid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t>Trong thời hạn 05 ngày làm việc kể từ ngày hoàn tất việc điều chỉnh lại danh mục đầu tư, Công Ty Quản Lý Quỹ phải công bố thông tin theo quy định, đồng thời thông báo cho Ủy Ban Chứng Khoán Nhà Nước về các sai lệch cơ cấu danh mục đầu tư, nguyên nhân, thời điểm phát sinh hoặc phát hiện ra sự việc, mức độ thiệt hại và bồi thường thiệt hại cho Quỹ (nếu có) hoặc lợi nhuận tạo cho Quỹ (nếu có), biện pháp khắc phục, thời gian thực hiện, kết quả khắc phục.</w:t>
      </w:r>
    </w:p>
    <w:p w14:paraId="35065A3A" w14:textId="77777777" w:rsidR="003E3718"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 đơn vị tiền tệ sử dụng trong kế toán</w:t>
      </w:r>
    </w:p>
    <w:p w14:paraId="4FC021B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w:t>
      </w:r>
    </w:p>
    <w:p w14:paraId="18DA1744"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Kỳ kế toán năm của quỹ là từ</w:t>
      </w:r>
      <w:r w:rsidR="00287ECC" w:rsidRPr="00A12D65">
        <w:rPr>
          <w:rFonts w:ascii="Times New Roman" w:hAnsi="Times New Roman" w:cs="Times New Roman"/>
          <w:sz w:val="20"/>
          <w:szCs w:val="20"/>
        </w:rPr>
        <w:t xml:space="preserve"> ngày 01 tháng </w:t>
      </w:r>
      <w:r w:rsidRPr="00A12D65">
        <w:rPr>
          <w:rFonts w:ascii="Times New Roman" w:hAnsi="Times New Roman" w:cs="Times New Roman"/>
          <w:sz w:val="20"/>
          <w:szCs w:val="20"/>
        </w:rPr>
        <w:t>01 đến ngày 31</w:t>
      </w:r>
      <w:r w:rsidR="00287ECC" w:rsidRPr="00A12D65">
        <w:rPr>
          <w:rFonts w:ascii="Times New Roman" w:hAnsi="Times New Roman" w:cs="Times New Roman"/>
          <w:sz w:val="20"/>
          <w:szCs w:val="20"/>
        </w:rPr>
        <w:t xml:space="preserve"> tháng </w:t>
      </w:r>
      <w:r w:rsidRPr="00A12D65">
        <w:rPr>
          <w:rFonts w:ascii="Times New Roman" w:hAnsi="Times New Roman" w:cs="Times New Roman"/>
          <w:sz w:val="20"/>
          <w:szCs w:val="20"/>
        </w:rPr>
        <w:t>12</w:t>
      </w:r>
      <w:r w:rsidR="00287ECC" w:rsidRPr="00A12D65">
        <w:rPr>
          <w:rFonts w:ascii="Times New Roman" w:hAnsi="Times New Roman" w:cs="Times New Roman"/>
          <w:sz w:val="20"/>
          <w:szCs w:val="20"/>
        </w:rPr>
        <w:t>.</w:t>
      </w:r>
    </w:p>
    <w:p w14:paraId="01BB3E82"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Đơn vị tiền tệ sử dụng trong kế toán </w:t>
      </w:r>
    </w:p>
    <w:p w14:paraId="185664FB" w14:textId="42815D16" w:rsidR="00FE75CF" w:rsidRPr="008B3D9B" w:rsidRDefault="00E34A50" w:rsidP="008B3D9B">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Đơn vị tiền tệ sử dụng trong ghi chép kế toán là đồng Việt Nam (VNĐ).</w:t>
      </w:r>
    </w:p>
    <w:p w14:paraId="456CACAB"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Chuẩn mực và Chế độ kế toán áp dụng</w:t>
      </w:r>
    </w:p>
    <w:p w14:paraId="7528EF4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Chế độ kế toán áp dụng</w:t>
      </w:r>
    </w:p>
    <w:p w14:paraId="3E6F6B94" w14:textId="336E53F9" w:rsidR="00B71FF1" w:rsidRPr="00A12D65" w:rsidRDefault="00366ED2" w:rsidP="002A42A1">
      <w:pPr>
        <w:spacing w:before="120" w:after="120"/>
        <w:jc w:val="both"/>
        <w:rPr>
          <w:rFonts w:ascii="Times New Roman" w:hAnsi="Times New Roman" w:cs="Times New Roman"/>
          <w:sz w:val="20"/>
          <w:szCs w:val="20"/>
        </w:rPr>
      </w:pPr>
      <w:r w:rsidRPr="00366ED2">
        <w:rPr>
          <w:rFonts w:ascii="Times New Roman" w:hAnsi="Times New Roman" w:cs="Times New Roman"/>
          <w:sz w:val="20"/>
          <w:szCs w:val="20"/>
        </w:rPr>
        <w:t>Quỹ áp dụng Chế độ Kế toán Quỹ mở ban hành theo Thông tư số 198/2012/TT-BTC ngày 15 tháng 11 năm 2012 của Bộ trưởng Bộ Tài chính và theo các chuẩn mực kế toán, hệ thống kế toán Việt Nam</w:t>
      </w:r>
      <w:r w:rsidR="00852E2C" w:rsidRPr="00A12D65">
        <w:rPr>
          <w:rFonts w:ascii="Times New Roman" w:hAnsi="Times New Roman" w:cs="Times New Roman"/>
          <w:sz w:val="20"/>
          <w:szCs w:val="20"/>
        </w:rPr>
        <w:t>.</w:t>
      </w:r>
    </w:p>
    <w:p w14:paraId="537ED40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Tuyên bố về việc tuân thủ Chuẩn mực kế toán và Chế độ kế toán</w:t>
      </w:r>
    </w:p>
    <w:p w14:paraId="4398BA0E" w14:textId="0A8047DE" w:rsidR="00B71FF1" w:rsidRPr="00A12D65" w:rsidRDefault="00D762F6" w:rsidP="002A42A1">
      <w:pPr>
        <w:spacing w:before="120" w:after="120"/>
        <w:jc w:val="both"/>
        <w:rPr>
          <w:rFonts w:ascii="Times New Roman" w:hAnsi="Times New Roman" w:cs="Times New Roman"/>
          <w:sz w:val="20"/>
          <w:szCs w:val="20"/>
        </w:rPr>
      </w:pPr>
      <w:r w:rsidRPr="00D762F6">
        <w:rPr>
          <w:rFonts w:ascii="Times New Roman" w:hAnsi="Times New Roman" w:cs="Times New Roman"/>
          <w:sz w:val="20"/>
          <w:szCs w:val="20"/>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E366B4" w:rsidRPr="00A12D65">
        <w:rPr>
          <w:rFonts w:ascii="Times New Roman" w:hAnsi="Times New Roman" w:cs="Times New Roman"/>
          <w:sz w:val="20"/>
          <w:szCs w:val="20"/>
        </w:rPr>
        <w:t xml:space="preserve">. </w:t>
      </w:r>
    </w:p>
    <w:p w14:paraId="552676B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Hình thức kế toán áp dụng </w:t>
      </w:r>
    </w:p>
    <w:p w14:paraId="3FA42257"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Quỹ áp dụng hình thức kế toán Nhật ký Chung.</w:t>
      </w:r>
      <w:r w:rsidRPr="00A12D65">
        <w:rPr>
          <w:rFonts w:ascii="Times New Roman" w:hAnsi="Times New Roman" w:cs="Times New Roman"/>
          <w:sz w:val="20"/>
          <w:szCs w:val="20"/>
        </w:rPr>
        <w:tab/>
      </w:r>
    </w:p>
    <w:p w14:paraId="16C64CBC"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chính sách kế toán áp dụng</w:t>
      </w:r>
    </w:p>
    <w:p w14:paraId="507A75B4"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Tiền và các khoản tương đương tiền</w:t>
      </w:r>
    </w:p>
    <w:p w14:paraId="05025715" w14:textId="77777777" w:rsidR="00B71FF1" w:rsidRPr="00A12D65" w:rsidRDefault="001746A9"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Tiền và các khoản tương đương tiền bao gồm </w:t>
      </w:r>
      <w:r w:rsidR="00A86536" w:rsidRPr="00A12D65">
        <w:rPr>
          <w:rFonts w:ascii="Times New Roman" w:hAnsi="Times New Roman" w:cs="Times New Roman"/>
          <w:sz w:val="20"/>
          <w:szCs w:val="20"/>
        </w:rPr>
        <w:t xml:space="preserve">các khoản </w:t>
      </w:r>
      <w:r w:rsidRPr="00A12D65">
        <w:rPr>
          <w:rFonts w:ascii="Times New Roman" w:hAnsi="Times New Roman" w:cs="Times New Roman"/>
          <w:sz w:val="20"/>
          <w:szCs w:val="20"/>
        </w:rPr>
        <w:t xml:space="preserve">tiền gửi ngân hàng cho hoạt động của Quỹ, tiền gửi </w:t>
      </w:r>
      <w:r w:rsidR="00A86536" w:rsidRPr="00A12D65">
        <w:rPr>
          <w:rFonts w:ascii="Times New Roman" w:hAnsi="Times New Roman" w:cs="Times New Roman"/>
          <w:sz w:val="20"/>
          <w:szCs w:val="20"/>
        </w:rPr>
        <w:t xml:space="preserve">có kỳ hạn và các khoản đầu tư ngắn hạn có thời hạn gốc không quá ba (03) tháng, có </w:t>
      </w:r>
      <w:r w:rsidRPr="00A12D65">
        <w:rPr>
          <w:rFonts w:ascii="Times New Roman" w:hAnsi="Times New Roman" w:cs="Times New Roman"/>
          <w:sz w:val="20"/>
          <w:szCs w:val="20"/>
        </w:rPr>
        <w:t>khả năng</w:t>
      </w:r>
      <w:r w:rsidR="00A86536" w:rsidRPr="00A12D65">
        <w:rPr>
          <w:rFonts w:ascii="Times New Roman" w:hAnsi="Times New Roman" w:cs="Times New Roman"/>
          <w:sz w:val="20"/>
          <w:szCs w:val="20"/>
        </w:rPr>
        <w:t xml:space="preserve"> thanh khoản cao, </w:t>
      </w:r>
      <w:r w:rsidRPr="00A12D65">
        <w:rPr>
          <w:rFonts w:ascii="Times New Roman" w:hAnsi="Times New Roman" w:cs="Times New Roman"/>
          <w:sz w:val="20"/>
          <w:szCs w:val="20"/>
        </w:rPr>
        <w:t xml:space="preserve">dễ dàng </w:t>
      </w:r>
      <w:r w:rsidR="00A86536" w:rsidRPr="00A12D65">
        <w:rPr>
          <w:rFonts w:ascii="Times New Roman" w:hAnsi="Times New Roman" w:cs="Times New Roman"/>
          <w:sz w:val="20"/>
          <w:szCs w:val="20"/>
        </w:rPr>
        <w:t xml:space="preserve">chuyển đổi </w:t>
      </w:r>
      <w:r w:rsidRPr="00A12D65">
        <w:rPr>
          <w:rFonts w:ascii="Times New Roman" w:hAnsi="Times New Roman" w:cs="Times New Roman"/>
          <w:sz w:val="20"/>
          <w:szCs w:val="20"/>
        </w:rPr>
        <w:t xml:space="preserve">thành tiền và </w:t>
      </w:r>
      <w:r w:rsidR="00A86536" w:rsidRPr="00A12D65">
        <w:rPr>
          <w:rFonts w:ascii="Times New Roman" w:hAnsi="Times New Roman" w:cs="Times New Roman"/>
          <w:sz w:val="20"/>
          <w:szCs w:val="20"/>
        </w:rPr>
        <w:t>ít</w:t>
      </w:r>
      <w:r w:rsidRPr="00A12D65">
        <w:rPr>
          <w:rFonts w:ascii="Times New Roman" w:hAnsi="Times New Roman" w:cs="Times New Roman"/>
          <w:sz w:val="20"/>
          <w:szCs w:val="20"/>
        </w:rPr>
        <w:t xml:space="preserve"> rủi ro </w:t>
      </w:r>
      <w:r w:rsidR="00A86536" w:rsidRPr="00A12D65">
        <w:rPr>
          <w:rFonts w:ascii="Times New Roman" w:hAnsi="Times New Roman" w:cs="Times New Roman"/>
          <w:sz w:val="20"/>
          <w:szCs w:val="20"/>
        </w:rPr>
        <w:t>liên quan tới việc biến động giá trị.</w:t>
      </w:r>
    </w:p>
    <w:p w14:paraId="45D36831" w14:textId="040AFA63" w:rsidR="003E3718" w:rsidRPr="00A12D65"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Nguyên tắc ghi nhận và phân loại các khoản đầu tư </w:t>
      </w:r>
    </w:p>
    <w:p w14:paraId="34345A65" w14:textId="17972EE9" w:rsidR="009570A5" w:rsidRPr="00A12D65" w:rsidRDefault="009570A5" w:rsidP="009570A5">
      <w:pPr>
        <w:pStyle w:val="ListParagraph"/>
        <w:spacing w:before="120" w:after="120"/>
        <w:ind w:left="0"/>
        <w:contextualSpacing w:val="0"/>
        <w:jc w:val="both"/>
        <w:rPr>
          <w:rFonts w:ascii="Times New Roman" w:hAnsi="Times New Roman" w:cs="Times New Roman"/>
          <w:bCs/>
          <w:sz w:val="20"/>
          <w:szCs w:val="20"/>
        </w:rPr>
      </w:pPr>
      <w:r w:rsidRPr="00A12D65">
        <w:rPr>
          <w:rFonts w:ascii="Times New Roman" w:hAnsi="Times New Roman" w:cs="Times New Roman"/>
          <w:bCs/>
          <w:sz w:val="20"/>
          <w:szCs w:val="20"/>
        </w:rPr>
        <w:t>Các khoản đầu tư của Quỹ bao gồm các khoản đầu tư vào các chứng khoán niêm yết, trái phiếu chưa niêm yết, chứng chỉ tiền gửi và các khoản tiền gửi có kỳ hạn trên ba (03) tháng.</w:t>
      </w:r>
    </w:p>
    <w:p w14:paraId="5A50F60B"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Nguyên tắc phân loại</w:t>
      </w:r>
    </w:p>
    <w:p w14:paraId="6EFBE074" w14:textId="619C98C6" w:rsidR="00B71FF1" w:rsidRPr="00A12D65" w:rsidRDefault="00E34A50"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4FDEC7E3"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nhận/chấm dứt ghi nhận</w:t>
      </w:r>
    </w:p>
    <w:p w14:paraId="29B43AE9" w14:textId="77777777" w:rsidR="001E39F1" w:rsidRPr="00A12D65" w:rsidRDefault="001E39F1"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193B97C0" w14:textId="3DB9CA69" w:rsidR="00B71FF1" w:rsidRDefault="00A41DFC"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Giá vốn của chứng khoán kinh doanh được tính theo phương pháp bình quân gia quyền</w:t>
      </w:r>
      <w:r w:rsidR="00E34A50" w:rsidRPr="00A12D65">
        <w:rPr>
          <w:rFonts w:ascii="Times New Roman" w:hAnsi="Times New Roman" w:cs="Times New Roman"/>
          <w:sz w:val="20"/>
          <w:szCs w:val="20"/>
          <w:lang w:val="nl-NL"/>
        </w:rPr>
        <w:t>.</w:t>
      </w:r>
    </w:p>
    <w:p w14:paraId="1B96F600" w14:textId="77777777" w:rsidR="00D6401F" w:rsidRPr="00A12D65" w:rsidRDefault="00D6401F" w:rsidP="008B2337">
      <w:pPr>
        <w:spacing w:before="120" w:after="120"/>
        <w:jc w:val="both"/>
        <w:rPr>
          <w:rFonts w:ascii="Times New Roman" w:hAnsi="Times New Roman" w:cs="Times New Roman"/>
          <w:sz w:val="20"/>
          <w:szCs w:val="20"/>
          <w:lang w:val="nl-NL"/>
        </w:rPr>
      </w:pPr>
    </w:p>
    <w:p w14:paraId="1E396037"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 ban đầu</w:t>
      </w:r>
    </w:p>
    <w:p w14:paraId="1A2CF20D" w14:textId="77777777" w:rsidR="00284965"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Các khoản đầu tư được ghi nhận ban đầu theo giá mua </w:t>
      </w:r>
      <w:r w:rsidR="006B7F4D" w:rsidRPr="00A12D6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A12D6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94EAEEB" w14:textId="77777777" w:rsidR="00B71FF1"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A12D65">
        <w:rPr>
          <w:rFonts w:ascii="Times New Roman" w:hAnsi="Times New Roman" w:cs="Times New Roman"/>
          <w:sz w:val="20"/>
          <w:szCs w:val="20"/>
          <w:lang w:val="nl-NL"/>
        </w:rPr>
        <w:t>.</w:t>
      </w:r>
    </w:p>
    <w:p w14:paraId="6A99512C" w14:textId="77777777" w:rsidR="000839E2" w:rsidRPr="00A12D6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Đánh giá lại</w:t>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p>
    <w:p w14:paraId="51133B9B" w14:textId="7BB03CA8" w:rsidR="00413AB1" w:rsidRDefault="001E39F1" w:rsidP="00EF7C24">
      <w:pPr>
        <w:spacing w:before="120" w:after="120" w:line="300" w:lineRule="auto"/>
        <w:jc w:val="both"/>
        <w:rPr>
          <w:rFonts w:ascii="Times New Roman" w:hAnsi="Times New Roman" w:cs="Times New Roman"/>
          <w:bCs/>
          <w:sz w:val="20"/>
          <w:szCs w:val="20"/>
          <w:lang w:val="nl-NL"/>
        </w:rPr>
      </w:pPr>
      <w:r w:rsidRPr="00A12D65">
        <w:rPr>
          <w:rFonts w:ascii="Times New Roman" w:hAnsi="Times New Roman" w:cs="Times New Roman"/>
          <w:sz w:val="20"/>
          <w:szCs w:val="20"/>
          <w:lang w:val="nl-NL"/>
        </w:rPr>
        <w:t xml:space="preserve">Phương pháp đánh giá lại các khoản đầu tư được quy định </w:t>
      </w:r>
      <w:r w:rsidR="004940FB">
        <w:rPr>
          <w:rFonts w:ascii="Times New Roman" w:hAnsi="Times New Roman" w:cs="Times New Roman"/>
          <w:sz w:val="20"/>
          <w:szCs w:val="20"/>
          <w:lang w:val="nl-NL"/>
        </w:rPr>
        <w:t xml:space="preserve">cụ thể </w:t>
      </w:r>
      <w:r w:rsidRPr="00A12D6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Pr>
          <w:rFonts w:ascii="Times New Roman" w:hAnsi="Times New Roman" w:cs="Times New Roman"/>
          <w:sz w:val="20"/>
          <w:szCs w:val="20"/>
          <w:lang w:val="nl-NL"/>
        </w:rPr>
        <w:t xml:space="preserve">của </w:t>
      </w:r>
      <w:r w:rsidRPr="00A12D65">
        <w:rPr>
          <w:rFonts w:ascii="Times New Roman" w:hAnsi="Times New Roman" w:cs="Times New Roman"/>
          <w:sz w:val="20"/>
          <w:szCs w:val="20"/>
          <w:lang w:val="nl-NL"/>
        </w:rPr>
        <w:t>Bản Cáo Bạch</w:t>
      </w:r>
      <w:r w:rsidR="009554AE">
        <w:rPr>
          <w:rFonts w:ascii="Times New Roman" w:hAnsi="Times New Roman" w:cs="Times New Roman"/>
          <w:sz w:val="20"/>
          <w:szCs w:val="20"/>
          <w:lang w:val="nl-NL"/>
        </w:rPr>
        <w:t xml:space="preserve"> Điều Lệ Quỹ</w:t>
      </w:r>
      <w:r w:rsidR="00C306ED">
        <w:rPr>
          <w:rFonts w:ascii="Times New Roman" w:hAnsi="Times New Roman" w:cs="Times New Roman"/>
          <w:sz w:val="20"/>
          <w:szCs w:val="20"/>
          <w:lang w:val="nl-NL"/>
        </w:rPr>
        <w:t xml:space="preserve"> và</w:t>
      </w:r>
      <w:r w:rsidRPr="00A12D65">
        <w:rPr>
          <w:rFonts w:ascii="Times New Roman" w:hAnsi="Times New Roman" w:cs="Times New Roman"/>
          <w:sz w:val="20"/>
          <w:szCs w:val="20"/>
          <w:lang w:val="nl-NL"/>
        </w:rPr>
        <w:t xml:space="preserve"> </w:t>
      </w:r>
      <w:r w:rsidR="004940FB" w:rsidRPr="00E04126">
        <w:rPr>
          <w:rFonts w:ascii="Times New Roman" w:eastAsia="Times New Roman" w:hAnsi="Times New Roman" w:cs="Times New Roman"/>
          <w:bCs/>
          <w:sz w:val="20"/>
          <w:szCs w:val="20"/>
          <w:lang w:val="nl-NL" w:eastAsia="en-GB"/>
        </w:rPr>
        <w:t>các văn bản có liên quan khác</w:t>
      </w:r>
      <w:r w:rsidR="00C306ED" w:rsidRPr="004940FB">
        <w:rPr>
          <w:rFonts w:ascii="Times New Roman" w:hAnsi="Times New Roman" w:cs="Times New Roman"/>
          <w:bCs/>
          <w:sz w:val="20"/>
          <w:szCs w:val="20"/>
          <w:lang w:val="nl-NL"/>
        </w:rPr>
        <w:t>.</w:t>
      </w:r>
    </w:p>
    <w:p w14:paraId="6333B629" w14:textId="77777777" w:rsidR="00B71FF1" w:rsidRPr="00A12D6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thu</w:t>
      </w:r>
    </w:p>
    <w:p w14:paraId="51E0396E"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phải thu bao gồm những khoản phải thu từ hoạt động bán chứng khoán, phải thu cổ tức, lãi trái phiếu, lãi tiền gửi ngân hàng và các khoản phải thu khác. Các khoản phải thu được phản ánh theo nguyên giá trừ đi dự phòng phải thu khó đòi.</w:t>
      </w:r>
    </w:p>
    <w:p w14:paraId="22081870"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2B9E549C" w14:textId="2E6314C8" w:rsidR="00B71FF1" w:rsidRPr="00A12D65" w:rsidRDefault="00AB426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Pr="00A12D65">
        <w:rPr>
          <w:rFonts w:ascii="Times New Roman" w:eastAsia="Times New Roman" w:hAnsi="Times New Roman" w:cs="Times New Roman"/>
          <w:bCs/>
          <w:sz w:val="20"/>
          <w:szCs w:val="20"/>
          <w:lang w:eastAsia="en-GB"/>
        </w:rPr>
        <w:t>4</w:t>
      </w:r>
      <w:r w:rsidRPr="00A12D65">
        <w:rPr>
          <w:rFonts w:ascii="Times New Roman" w:eastAsia="Times New Roman" w:hAnsi="Times New Roman" w:cs="Times New Roman"/>
          <w:bCs/>
          <w:sz w:val="20"/>
          <w:szCs w:val="20"/>
          <w:lang w:val="vi-VN" w:eastAsia="en-GB"/>
        </w:rPr>
        <w:t>8/20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 xml:space="preserve">9/TT-BTC do Bộ Tài Chính ban hành ngày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tháng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năm 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9:</w:t>
      </w:r>
      <w:r w:rsidR="00E34A50" w:rsidRPr="00A12D65">
        <w:rPr>
          <w:rFonts w:ascii="Times New Roman" w:eastAsia="Times New Roman" w:hAnsi="Times New Roman" w:cs="Times New Roman"/>
          <w:bCs/>
          <w:sz w:val="20"/>
          <w:szCs w:val="20"/>
          <w:lang w:eastAsia="en-GB"/>
        </w:rPr>
        <w:tab/>
      </w:r>
      <w:r w:rsidR="00E34A50" w:rsidRPr="00A12D65">
        <w:rPr>
          <w:rFonts w:ascii="Times New Roman" w:eastAsia="Times New Roman" w:hAnsi="Times New Roman" w:cs="Times New Roman"/>
          <w:bCs/>
          <w:sz w:val="20"/>
          <w:szCs w:val="20"/>
          <w:lang w:eastAsia="en-GB"/>
        </w:rPr>
        <w:tab/>
      </w:r>
    </w:p>
    <w:tbl>
      <w:tblPr>
        <w:tblW w:w="9237" w:type="dxa"/>
        <w:tblInd w:w="-90" w:type="dxa"/>
        <w:tblLook w:val="04A0" w:firstRow="1" w:lastRow="0" w:firstColumn="1" w:lastColumn="0" w:noHBand="0" w:noVBand="1"/>
      </w:tblPr>
      <w:tblGrid>
        <w:gridCol w:w="6497"/>
        <w:gridCol w:w="2740"/>
      </w:tblGrid>
      <w:tr w:rsidR="000E58C2" w:rsidRPr="00A12D6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A12D65" w:rsidRDefault="00E34A50" w:rsidP="00E04126">
            <w:pPr>
              <w:spacing w:after="0" w:line="300" w:lineRule="auto"/>
              <w:jc w:val="both"/>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A12D65" w:rsidRDefault="00E34A50" w:rsidP="00E04126">
            <w:pPr>
              <w:spacing w:after="0" w:line="300" w:lineRule="auto"/>
              <w:jc w:val="center"/>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Mức trích lập dự phòng</w:t>
            </w:r>
          </w:p>
        </w:tc>
      </w:tr>
      <w:tr w:rsidR="000E58C2" w:rsidRPr="00A12D6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D311628"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30%</w:t>
            </w:r>
          </w:p>
        </w:tc>
      </w:tr>
      <w:tr w:rsidR="000E58C2" w:rsidRPr="00A12D6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714371C"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50%</w:t>
            </w:r>
          </w:p>
        </w:tc>
      </w:tr>
      <w:tr w:rsidR="000E58C2" w:rsidRPr="00A12D6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6CA57164"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70%</w:t>
            </w:r>
          </w:p>
        </w:tc>
      </w:tr>
      <w:tr w:rsidR="000E58C2" w:rsidRPr="00A12D6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w:t>
            </w:r>
            <w:r w:rsidR="001963C9" w:rsidRPr="00A12D65">
              <w:rPr>
                <w:rFonts w:ascii="Times New Roman" w:eastAsia="Times New Roman" w:hAnsi="Times New Roman" w:cs="Times New Roman"/>
                <w:sz w:val="20"/>
                <w:szCs w:val="20"/>
                <w:lang w:eastAsia="en-GB"/>
              </w:rPr>
              <w:t>ừ</w:t>
            </w:r>
            <w:r w:rsidRPr="00A12D65">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shd w:val="clear" w:color="auto" w:fill="auto"/>
            <w:vAlign w:val="center"/>
            <w:hideMark/>
          </w:tcPr>
          <w:p w14:paraId="05C46022"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100%</w:t>
            </w:r>
          </w:p>
        </w:tc>
      </w:tr>
    </w:tbl>
    <w:p w14:paraId="349B8F4C"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trả</w:t>
      </w:r>
    </w:p>
    <w:p w14:paraId="4ED513FA" w14:textId="352BAB7F" w:rsidR="00B71FF1" w:rsidRPr="00A12D6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phải trả cho hoạt động kinh doanh chứng khoán, phải trả thù lao Ban đại diện Quỹ, phải trả cho Công ty Quản lý Quỹ, Ngân hàng giám sát và các khoản phải trả khác</w:t>
      </w:r>
      <w:r w:rsidR="00C25DB7" w:rsidRPr="00A12D65">
        <w:rPr>
          <w:rFonts w:ascii="Times New Roman" w:eastAsia="Times New Roman" w:hAnsi="Times New Roman" w:cs="Times New Roman"/>
          <w:bCs/>
          <w:sz w:val="20"/>
          <w:szCs w:val="20"/>
          <w:lang w:eastAsia="en-GB"/>
        </w:rPr>
        <w:t>.</w:t>
      </w:r>
    </w:p>
    <w:p w14:paraId="5F6C2E97" w14:textId="0A6AF355" w:rsidR="00B71FF1" w:rsidRPr="00A12D6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Vốn góp của </w:t>
      </w:r>
      <w:r w:rsidR="00F170DF" w:rsidRPr="00A12D65">
        <w:rPr>
          <w:rFonts w:ascii="Times New Roman" w:hAnsi="Times New Roman" w:cs="Times New Roman"/>
          <w:b/>
          <w:sz w:val="20"/>
          <w:szCs w:val="20"/>
        </w:rPr>
        <w:t>Nhà Đầu Tư</w:t>
      </w:r>
      <w:r w:rsidRPr="00A12D65">
        <w:rPr>
          <w:rFonts w:ascii="Times New Roman" w:hAnsi="Times New Roman" w:cs="Times New Roman"/>
          <w:b/>
          <w:sz w:val="20"/>
          <w:szCs w:val="20"/>
        </w:rPr>
        <w:t xml:space="preserve"> </w:t>
      </w:r>
    </w:p>
    <w:p w14:paraId="54444FB7" w14:textId="3ECA15A1" w:rsidR="00131415" w:rsidRPr="00A12D65" w:rsidRDefault="00131415"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với quyền hưởng cổ tức được phân loại là vốn chủ sở hữu. Mỗi đơn vị quỹ có mệnh giá là 10.000 đồng Việt Nam. </w:t>
      </w:r>
    </w:p>
    <w:p w14:paraId="5BB2F8CB" w14:textId="1AD039B8" w:rsidR="00131415" w:rsidRPr="00A12D6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Số lượng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khi phân phối là số lẻ ở dạng thập phân, làm tròn xuống tới số hạng thứ hai sau dấu phẩy.</w:t>
      </w:r>
    </w:p>
    <w:p w14:paraId="7BFF715D" w14:textId="77777777" w:rsidR="00B71FF1" w:rsidRPr="00A12D65"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V</w:t>
      </w:r>
      <w:r w:rsidR="00E34A50" w:rsidRPr="00A12D65">
        <w:rPr>
          <w:rFonts w:ascii="Times New Roman" w:eastAsia="Times New Roman" w:hAnsi="Times New Roman" w:cs="Times New Roman"/>
          <w:bCs/>
          <w:i/>
          <w:sz w:val="20"/>
          <w:szCs w:val="20"/>
          <w:lang w:eastAsia="en-GB"/>
        </w:rPr>
        <w:t>ốn góp phát hành</w:t>
      </w:r>
    </w:p>
    <w:p w14:paraId="11ACF306" w14:textId="096823B0" w:rsidR="00B71FF1" w:rsidRDefault="000E2C5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phát hành phản ánh nguồn vốn đầu tư của Quỹ do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góp vốn vào Quỹ theo phương thức mua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trong lần phát hành lần đầu ra công chúng và các lần giao dịch </w:t>
      </w:r>
      <w:r w:rsidR="002673A2" w:rsidRPr="00A12D65">
        <w:rPr>
          <w:rFonts w:ascii="Times New Roman" w:eastAsia="Times New Roman" w:hAnsi="Times New Roman" w:cs="Times New Roman"/>
          <w:bCs/>
          <w:sz w:val="20"/>
          <w:szCs w:val="20"/>
          <w:lang w:eastAsia="en-GB"/>
        </w:rPr>
        <w:t>tiếp theo</w:t>
      </w:r>
      <w:r w:rsidRPr="00A12D65">
        <w:rPr>
          <w:rFonts w:ascii="Times New Roman" w:eastAsia="Times New Roman" w:hAnsi="Times New Roman" w:cs="Times New Roman"/>
          <w:bCs/>
          <w:sz w:val="20"/>
          <w:szCs w:val="20"/>
          <w:lang w:eastAsia="en-GB"/>
        </w:rPr>
        <w:t xml:space="preserve">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Vốn góp phát hành được phản ánh theo mệnh giá.</w:t>
      </w:r>
    </w:p>
    <w:p w14:paraId="7B2DC790"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32F3F8EF" w14:textId="77777777" w:rsidR="00B71FF1" w:rsidRPr="00A12D65"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V</w:t>
      </w:r>
      <w:r w:rsidR="00C47245" w:rsidRPr="00A12D65">
        <w:rPr>
          <w:rFonts w:ascii="Times New Roman" w:eastAsia="Times New Roman" w:hAnsi="Times New Roman" w:cs="Times New Roman"/>
          <w:bCs/>
          <w:i/>
          <w:sz w:val="20"/>
          <w:szCs w:val="20"/>
          <w:lang w:eastAsia="en-GB"/>
        </w:rPr>
        <w:t>ốn góp mua lại</w:t>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p>
    <w:p w14:paraId="54A1B4CD" w14:textId="6BDD02FB" w:rsidR="00DB3E79" w:rsidRPr="00A12D65" w:rsidRDefault="008928C2"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mua lại phản ánh tình hình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tại các kỳ giao dịch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ngày thành lập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Quỹ. Vốn góp mua lại được phản ánh theo mệnh giá</w:t>
      </w:r>
      <w:r w:rsidR="00E34A50" w:rsidRPr="00A12D65">
        <w:rPr>
          <w:rFonts w:ascii="Times New Roman" w:eastAsia="Times New Roman" w:hAnsi="Times New Roman" w:cs="Times New Roman"/>
          <w:bCs/>
          <w:sz w:val="20"/>
          <w:szCs w:val="20"/>
          <w:lang w:eastAsia="en-GB"/>
        </w:rPr>
        <w:t>.</w:t>
      </w:r>
    </w:p>
    <w:p w14:paraId="5AA1FD5B" w14:textId="65C093E0" w:rsidR="00FF0EB9" w:rsidRPr="00A12D65" w:rsidRDefault="00FF0EB9"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Thặng dư vốn góp của </w:t>
      </w:r>
      <w:r w:rsidR="00F170DF" w:rsidRPr="00A12D65">
        <w:rPr>
          <w:rFonts w:ascii="Times New Roman" w:eastAsia="Times New Roman" w:hAnsi="Times New Roman" w:cs="Times New Roman"/>
          <w:bCs/>
          <w:i/>
          <w:sz w:val="20"/>
          <w:szCs w:val="20"/>
          <w:lang w:eastAsia="en-GB"/>
        </w:rPr>
        <w:t>Nhà Đầu Tư</w:t>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p>
    <w:p w14:paraId="13816095" w14:textId="57631301" w:rsidR="00564F31" w:rsidRPr="00A12D65" w:rsidRDefault="00564F31"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Thặng dư vốn góp phản ánh chênh lệch giữa giá trị tài sản ròng trên một đơn vị quỹ và mệnh giá của 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được phát hành/mua lại.</w:t>
      </w:r>
    </w:p>
    <w:p w14:paraId="6562E368" w14:textId="77777777"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Lợi nhuận/(lỗ) chưa phân phối</w:t>
      </w:r>
    </w:p>
    <w:p w14:paraId="1DBAFE3A"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29B7AAB3"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đã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số chênh lệch giữa tổng thu nhập, doanh thu sau khi loại trừ phần chênh lệch tăng/(giảm) do đánh giá lại các khoản đầu tư chưa thực hiện với tổng các khoản chi phí của Quỹ phát sinh trong </w:t>
      </w:r>
      <w:r w:rsidR="00CC1C8F"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1C4E47"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chưa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chênh lệch tăng/(giảm) do đánh giá lại các khoản đầu tư thuộc danh mục đầu tư của Quỹ phát sinh trong </w:t>
      </w:r>
      <w:r w:rsidR="00D951CE"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F3A495"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Cuối </w:t>
      </w:r>
      <w:r w:rsidR="00A1550B"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tài chính, Quỹ xác định lợi nhuận/(lỗ) đã thực hiện và lợi nhuận/(lỗ) chưa thực hiện trong </w:t>
      </w:r>
      <w:r w:rsidR="005B4845"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và ghi nhận vào “Lợi nhuận/(lỗ) chưa phân phối”.</w:t>
      </w:r>
      <w:r w:rsidRPr="00A12D65">
        <w:rPr>
          <w:rFonts w:ascii="Times New Roman" w:eastAsia="Times New Roman" w:hAnsi="Times New Roman" w:cs="Times New Roman"/>
          <w:bCs/>
          <w:sz w:val="20"/>
          <w:szCs w:val="20"/>
          <w:lang w:eastAsia="en-GB"/>
        </w:rPr>
        <w:tab/>
      </w:r>
    </w:p>
    <w:p w14:paraId="4BFD90BD" w14:textId="1EBC0091"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Lợi nhuận/Tài sản phân phối cho </w:t>
      </w:r>
      <w:r w:rsidR="00F170DF" w:rsidRPr="00A12D65">
        <w:rPr>
          <w:rFonts w:ascii="Times New Roman" w:eastAsia="Times New Roman" w:hAnsi="Times New Roman" w:cs="Times New Roman"/>
          <w:bCs/>
          <w:i/>
          <w:sz w:val="20"/>
          <w:szCs w:val="20"/>
          <w:lang w:eastAsia="en-GB"/>
        </w:rPr>
        <w:t>Nhà Đầu Tư</w:t>
      </w:r>
      <w:r w:rsidR="00BD7429" w:rsidRPr="00A12D65">
        <w:rPr>
          <w:rFonts w:ascii="Times New Roman" w:eastAsia="Times New Roman" w:hAnsi="Times New Roman" w:cs="Times New Roman"/>
          <w:bCs/>
          <w:i/>
          <w:sz w:val="20"/>
          <w:szCs w:val="20"/>
          <w:lang w:eastAsia="en-GB"/>
        </w:rPr>
        <w:t xml:space="preserve">  </w:t>
      </w:r>
    </w:p>
    <w:p w14:paraId="59A68DBB" w14:textId="015F1604"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Khoản mục này phản ánh số lợi nhuận/tài sản đã phân phối trong </w:t>
      </w:r>
      <w:r w:rsidR="00725317"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và việc kết chuyển số lợi nhuận đã phân phối sang tài khoản lợi nhuận chưa phân phối vào cuối </w:t>
      </w:r>
      <w:r w:rsidR="0072297E" w:rsidRPr="00A12D65">
        <w:rPr>
          <w:rFonts w:ascii="Times New Roman" w:eastAsia="Times New Roman" w:hAnsi="Times New Roman" w:cs="Times New Roman"/>
          <w:bCs/>
          <w:sz w:val="20"/>
          <w:szCs w:val="20"/>
          <w:lang w:eastAsia="en-GB"/>
        </w:rPr>
        <w:t>kỳ kế toán</w:t>
      </w:r>
      <w:r w:rsidRPr="00A12D65">
        <w:rPr>
          <w:rFonts w:ascii="Times New Roman" w:eastAsia="Times New Roman" w:hAnsi="Times New Roman" w:cs="Times New Roman"/>
          <w:bCs/>
          <w:sz w:val="20"/>
          <w:szCs w:val="20"/>
          <w:lang w:eastAsia="en-GB"/>
        </w:rPr>
        <w:t>.</w:t>
      </w:r>
    </w:p>
    <w:p w14:paraId="65982E6D" w14:textId="4B123C36" w:rsidR="004B581E"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Quỹ ghi nhận lợi nhuận/tài sản phân phối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dựa trên Nghị quyết của Đại hội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phù hợp với Điều lệ của Quỹ và quy định của pháp luật chứng khoán hiện hành.</w:t>
      </w:r>
    </w:p>
    <w:p w14:paraId="1A39F03B" w14:textId="77777777" w:rsidR="00B71FF1" w:rsidRPr="00A12D6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Doanh thu</w:t>
      </w:r>
    </w:p>
    <w:p w14:paraId="3BC1B8BD"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Doanh thu được ghi nhận khi Quỹ nhận được các lợi ích kinh tế một cách chắc chắn. Các điều kiện ghi nhận cụ thể sau đây cũng phải được đáp ứng trước khi ghi nhận doanh thu:</w:t>
      </w:r>
    </w:p>
    <w:p w14:paraId="11D8F21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Tiền lãi</w:t>
      </w:r>
    </w:p>
    <w:p w14:paraId="4ACB53FC"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lãi từ các khoản tiền gửi tại ngân hàng, chứng chỉ tiền gửi và trái phiếu được ghi nhận </w:t>
      </w:r>
      <w:r w:rsidR="00267ABF" w:rsidRPr="00A12D65">
        <w:rPr>
          <w:rFonts w:ascii="Times New Roman" w:eastAsia="Times New Roman" w:hAnsi="Times New Roman" w:cs="Times New Roman"/>
          <w:bCs/>
          <w:sz w:val="20"/>
          <w:szCs w:val="20"/>
          <w:lang w:eastAsia="en-GB"/>
        </w:rPr>
        <w:t xml:space="preserve">theo tỷ lệ tương ứng về thời gian dựa trên số dư gốc và lãi suất áp dụng. Thu nhập lãi được ghi nhận trong báo cáo thu nhập </w:t>
      </w:r>
      <w:r w:rsidRPr="00A12D65">
        <w:rPr>
          <w:rFonts w:ascii="Times New Roman" w:eastAsia="Times New Roman" w:hAnsi="Times New Roman" w:cs="Times New Roman"/>
          <w:bCs/>
          <w:sz w:val="20"/>
          <w:szCs w:val="20"/>
          <w:lang w:eastAsia="en-GB"/>
        </w:rPr>
        <w:t>trên cơ sở d</w:t>
      </w:r>
      <w:r w:rsidR="00267ABF" w:rsidRPr="00A12D65">
        <w:rPr>
          <w:rFonts w:ascii="Times New Roman" w:eastAsia="Times New Roman" w:hAnsi="Times New Roman" w:cs="Times New Roman"/>
          <w:bCs/>
          <w:sz w:val="20"/>
          <w:szCs w:val="20"/>
          <w:lang w:eastAsia="en-GB"/>
        </w:rPr>
        <w:t>ồn tích</w:t>
      </w:r>
      <w:r w:rsidRPr="00A12D65">
        <w:rPr>
          <w:rFonts w:ascii="Times New Roman" w:eastAsia="Times New Roman" w:hAnsi="Times New Roman" w:cs="Times New Roman"/>
          <w:bCs/>
          <w:sz w:val="20"/>
          <w:szCs w:val="20"/>
          <w:lang w:eastAsia="en-GB"/>
        </w:rPr>
        <w:t xml:space="preserve"> trừ khi khả năng thu lãi không chắc chắn. </w:t>
      </w:r>
    </w:p>
    <w:p w14:paraId="7561D445"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Cổ tức</w:t>
      </w:r>
    </w:p>
    <w:p w14:paraId="45194038"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cổ tức được ghi nhận vào báo cáo kết quả hoạt động khi quyền nhận cổ tức của Quỹ được thiết lập. </w:t>
      </w:r>
    </w:p>
    <w:p w14:paraId="74C1869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Thu nhập từ hoạt động kinh doanh chứng khoán</w:t>
      </w:r>
    </w:p>
    <w:p w14:paraId="3F549443" w14:textId="264DDB19" w:rsidR="00B71FF1"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A12D65">
        <w:rPr>
          <w:rFonts w:ascii="Times New Roman" w:eastAsia="Times New Roman" w:hAnsi="Times New Roman" w:cs="Times New Roman"/>
          <w:bCs/>
          <w:sz w:val="20"/>
          <w:szCs w:val="20"/>
          <w:lang w:eastAsia="en-GB"/>
        </w:rPr>
        <w:t xml:space="preserve"> </w:t>
      </w:r>
    </w:p>
    <w:p w14:paraId="13DB0442" w14:textId="543F17F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3873D38" w14:textId="464442B1"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43BF66BA" w14:textId="20D4D30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FB064C6"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2AC8A6A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Nguyên tắc ghi nhận các khoản chi phí</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6EAF40F7" w14:textId="5DE7B747" w:rsidR="00B71FF1" w:rsidRPr="00A12D65"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Chi phí được ghi nhận trên cơ sở dồn tích và ghi nhận theo phát sinh thực tế trong báo cáo kết quả hoạt độn</w:t>
      </w:r>
      <w:r w:rsidR="00776AA2" w:rsidRPr="00A12D65">
        <w:rPr>
          <w:rFonts w:ascii="Times New Roman" w:eastAsia="Times New Roman" w:hAnsi="Times New Roman" w:cs="Times New Roman"/>
          <w:bCs/>
          <w:sz w:val="20"/>
          <w:szCs w:val="20"/>
          <w:lang w:eastAsia="en-GB"/>
        </w:rPr>
        <w:t>g.</w:t>
      </w:r>
    </w:p>
    <w:p w14:paraId="545C492D"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Thuế</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41B8DFE9" w14:textId="4D16C05E" w:rsidR="00D6401F"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32022ABF" w14:textId="3BC084C9"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trả cổ tức cho </w:t>
      </w:r>
      <w:r w:rsidR="00F170DF" w:rsidRPr="00A12D65">
        <w:rPr>
          <w:rFonts w:ascii="Times New Roman" w:eastAsia="Times New Roman" w:hAnsi="Times New Roman" w:cs="Times New Roman"/>
          <w:b/>
          <w:bCs/>
          <w:i/>
          <w:sz w:val="20"/>
          <w:szCs w:val="20"/>
          <w:lang w:eastAsia="en-GB"/>
        </w:rPr>
        <w:t>Nhà Đầu Tư</w:t>
      </w:r>
      <w:r w:rsidRPr="00A12D65">
        <w:rPr>
          <w:rFonts w:ascii="Times New Roman" w:eastAsia="Times New Roman" w:hAnsi="Times New Roman" w:cs="Times New Roman"/>
          <w:b/>
          <w:bCs/>
          <w:i/>
          <w:sz w:val="20"/>
          <w:szCs w:val="20"/>
          <w:lang w:eastAsia="en-GB"/>
        </w:rPr>
        <w:t xml:space="preserve">  </w:t>
      </w:r>
    </w:p>
    <w:p w14:paraId="7186D5C4" w14:textId="7651C12C" w:rsidR="008B3D9B"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Khi Quỹ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w:t>
      </w:r>
      <w:r w:rsidR="002E39B4" w:rsidRPr="00A12D65">
        <w:rPr>
          <w:rFonts w:ascii="Times New Roman" w:eastAsia="Times New Roman" w:hAnsi="Times New Roman" w:cs="Times New Roman"/>
          <w:bCs/>
          <w:sz w:val="20"/>
          <w:szCs w:val="20"/>
          <w:lang w:eastAsia="en-GB"/>
        </w:rPr>
        <w:t>Q</w:t>
      </w:r>
      <w:r w:rsidRPr="00A12D65">
        <w:rPr>
          <w:rFonts w:ascii="Times New Roman" w:eastAsia="Times New Roman" w:hAnsi="Times New Roman" w:cs="Times New Roman"/>
          <w:bCs/>
          <w:sz w:val="20"/>
          <w:szCs w:val="20"/>
          <w:lang w:eastAsia="en-GB"/>
        </w:rPr>
        <w:t xml:space="preserve">uản lý Quỹ về việc tự nộp thuế để không bị khấu trừ phần thuế tương ứng. Khi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là cá nhân (trong nước và nước ngoài), Công ty Quản lý Quỹ có trách nhiệm khấu trừ số thuế thu nhập cá nhân bằng 5% lợi nhuận được phân phối.</w:t>
      </w:r>
    </w:p>
    <w:p w14:paraId="4FA421DA" w14:textId="4FAC38E0"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mua lại </w:t>
      </w:r>
      <w:r w:rsidR="00776AA2" w:rsidRPr="00A12D65">
        <w:rPr>
          <w:rFonts w:ascii="Times New Roman" w:eastAsia="Times New Roman" w:hAnsi="Times New Roman" w:cs="Times New Roman"/>
          <w:b/>
          <w:bCs/>
          <w:i/>
          <w:sz w:val="20"/>
          <w:szCs w:val="20"/>
          <w:lang w:eastAsia="en-GB"/>
        </w:rPr>
        <w:t>Chứng chỉ Quỹ</w:t>
      </w:r>
      <w:r w:rsidRPr="00A12D65">
        <w:rPr>
          <w:rFonts w:ascii="Times New Roman" w:eastAsia="Times New Roman" w:hAnsi="Times New Roman" w:cs="Times New Roman"/>
          <w:b/>
          <w:bCs/>
          <w:i/>
          <w:sz w:val="20"/>
          <w:szCs w:val="20"/>
          <w:lang w:eastAsia="en-GB"/>
        </w:rPr>
        <w:t xml:space="preserve">  </w:t>
      </w:r>
    </w:p>
    <w:p w14:paraId="66B38016" w14:textId="46C55FBB" w:rsidR="00011FCD"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 Thông tư 25/2018/TT-BTC ngày 16 tháng 3 năm 2018,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78/2014/TT-BTC ngày 18 tháng 6 năm 2014.</w:t>
      </w:r>
    </w:p>
    <w:p w14:paraId="0F45A84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Giá trị tài sản ròng trên một đơn vị quỹ</w:t>
      </w:r>
    </w:p>
    <w:p w14:paraId="7E5689C8" w14:textId="77777777" w:rsidR="00C506DB" w:rsidRPr="00A12D65" w:rsidRDefault="00C506DB" w:rsidP="00EF7C24">
      <w:pPr>
        <w:pStyle w:val="ListParagraph"/>
        <w:tabs>
          <w:tab w:val="left" w:pos="810"/>
        </w:tabs>
        <w:spacing w:before="120" w:after="120" w:line="300" w:lineRule="auto"/>
        <w:ind w:left="0"/>
        <w:contextualSpacing w:val="0"/>
        <w:jc w:val="both"/>
        <w:outlineLvl w:val="0"/>
        <w:rPr>
          <w:rFonts w:ascii="Times New Roman" w:hAnsi="Times New Roman" w:cs="Times New Roman"/>
          <w:b/>
          <w:sz w:val="20"/>
          <w:szCs w:val="20"/>
        </w:rPr>
      </w:pPr>
      <w:r w:rsidRPr="00A12D65">
        <w:rPr>
          <w:rFonts w:ascii="Times New Roman" w:eastAsia="Times New Roman" w:hAnsi="Times New Roman" w:cs="Times New Roman"/>
          <w:bCs/>
          <w:sz w:val="20"/>
          <w:szCs w:val="20"/>
          <w:lang w:eastAsia="en-GB"/>
        </w:rPr>
        <w:t>Giá trị tài sản ròng của một đơn vị quỹ bằng giá trị tài sản ròng của Quỹ chia cho tổng số đơn vị quỹ đang lưu hành tại ngày giao dịch gần nhất trước ngày định giá, và được lấy đến 2 số thập phân. Phần dư phát sinh từ việc làm tròn giá trị tài sản ròng của quỹ sẽ được hạch toán vào quỹ, Giá trị tài sản ròng được làm tròn theo quy định trong lĩnh vực kế toán, kiểm toán.</w:t>
      </w:r>
    </w:p>
    <w:p w14:paraId="58F0A881" w14:textId="77777777" w:rsidR="00C506DB" w:rsidRPr="00A12D6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Số dư bằng không</w:t>
      </w:r>
    </w:p>
    <w:p w14:paraId="7E31EC55" w14:textId="7CDEB814" w:rsidR="003A3354" w:rsidRDefault="00732E64" w:rsidP="00EF7C24">
      <w:pPr>
        <w:spacing w:before="120"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mục hay số dư được quy định trong Thông tư 198/2012/TT-BTC không được thể hiện trong báo cáo tài chính này thì được hiểu là có số dư bằng không</w:t>
      </w:r>
      <w:r w:rsidR="00C506DB" w:rsidRPr="00A12D65">
        <w:rPr>
          <w:rFonts w:ascii="Times New Roman" w:hAnsi="Times New Roman" w:cs="Times New Roman"/>
          <w:sz w:val="20"/>
          <w:szCs w:val="20"/>
        </w:rPr>
        <w:t>.</w:t>
      </w:r>
      <w:bookmarkStart w:id="0" w:name="_Hlk37751688"/>
    </w:p>
    <w:p w14:paraId="0748C09E" w14:textId="6D758887" w:rsidR="00D6401F" w:rsidRDefault="00D6401F" w:rsidP="00EF7C24">
      <w:pPr>
        <w:spacing w:before="120" w:after="120" w:line="300" w:lineRule="auto"/>
        <w:jc w:val="both"/>
        <w:rPr>
          <w:rFonts w:ascii="Times New Roman" w:hAnsi="Times New Roman" w:cs="Times New Roman"/>
          <w:sz w:val="20"/>
          <w:szCs w:val="20"/>
        </w:rPr>
      </w:pPr>
    </w:p>
    <w:p w14:paraId="5103875F" w14:textId="6717824A" w:rsidR="00D6401F" w:rsidRDefault="00D6401F" w:rsidP="00EF7C24">
      <w:pPr>
        <w:spacing w:before="120" w:after="120" w:line="300" w:lineRule="auto"/>
        <w:jc w:val="both"/>
        <w:rPr>
          <w:rFonts w:ascii="Times New Roman" w:hAnsi="Times New Roman" w:cs="Times New Roman"/>
          <w:sz w:val="20"/>
          <w:szCs w:val="20"/>
        </w:rPr>
      </w:pPr>
    </w:p>
    <w:p w14:paraId="0BEE4912" w14:textId="4F75F880" w:rsidR="00D6401F" w:rsidRDefault="00D6401F" w:rsidP="00EF7C24">
      <w:pPr>
        <w:spacing w:before="120" w:after="120" w:line="300" w:lineRule="auto"/>
        <w:jc w:val="both"/>
        <w:rPr>
          <w:rFonts w:ascii="Times New Roman" w:hAnsi="Times New Roman" w:cs="Times New Roman"/>
          <w:sz w:val="20"/>
          <w:szCs w:val="20"/>
        </w:rPr>
      </w:pPr>
    </w:p>
    <w:p w14:paraId="7BCB32D8" w14:textId="77777777" w:rsidR="00D6401F" w:rsidRPr="008B3D9B" w:rsidRDefault="00D6401F" w:rsidP="00EF7C24">
      <w:pPr>
        <w:spacing w:before="120" w:after="120" w:line="300" w:lineRule="auto"/>
        <w:jc w:val="both"/>
        <w:rPr>
          <w:rFonts w:ascii="Times New Roman" w:hAnsi="Times New Roman" w:cs="Times New Roman"/>
          <w:sz w:val="20"/>
          <w:szCs w:val="20"/>
        </w:rPr>
      </w:pPr>
    </w:p>
    <w:p w14:paraId="19D35154" w14:textId="2F1A60D3" w:rsidR="00954446" w:rsidRPr="00A12D6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Thông tin bổ sung cho các báo cáo tài chính</w:t>
      </w:r>
    </w:p>
    <w:bookmarkEnd w:id="0"/>
    <w:p w14:paraId="316B57F3" w14:textId="77777777" w:rsidR="00707D10" w:rsidRPr="00707D10" w:rsidRDefault="00707D10" w:rsidP="00707D10">
      <w:pPr>
        <w:spacing w:after="0"/>
        <w:jc w:val="both"/>
        <w:rPr>
          <w:rFonts w:ascii="Times New Roman" w:eastAsia="Times New Roman" w:hAnsi="Times New Roman" w:cs="Times New Roman"/>
          <w:sz w:val="20"/>
          <w:szCs w:val="20"/>
        </w:rPr>
      </w:pPr>
      <w:r w:rsidRPr="00707D10">
        <w:rPr>
          <w:rFonts w:ascii="Times New Roman" w:eastAsia="Times New Roman" w:hAnsi="Times New Roman" w:cs="Times New Roman"/>
          <w:sz w:val="20"/>
          <w:szCs w:val="20"/>
        </w:rPr>
        <w:t>Phần thuyết minh này được trình bày theo phụ lục đính kèm.</w:t>
      </w:r>
    </w:p>
    <w:p w14:paraId="7024EC83" w14:textId="462FB66F" w:rsidR="00EB78C5" w:rsidRPr="00A12D65" w:rsidRDefault="00003FD1" w:rsidP="00EB78C5">
      <w:pPr>
        <w:spacing w:after="120"/>
        <w:jc w:val="both"/>
        <w:outlineLvl w:val="0"/>
        <w:rPr>
          <w:rFonts w:ascii="Times New Roman" w:hAnsi="Times New Roman" w:cs="Times New Roman"/>
          <w:b/>
          <w:sz w:val="20"/>
          <w:szCs w:val="20"/>
        </w:rPr>
      </w:pPr>
      <w:r>
        <w:rPr>
          <w:rFonts w:ascii="Times New Roman" w:hAnsi="Times New Roman" w:cs="Times New Roman"/>
          <w:b/>
          <w:sz w:val="20"/>
          <w:szCs w:val="20"/>
        </w:rPr>
        <w:object w:dxaOrig="1508" w:dyaOrig="983" w14:anchorId="2F769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1" o:title=""/>
          </v:shape>
          <o:OLEObject Type="Embed" ProgID="Excel.Sheet.12" ShapeID="_x0000_i1027" DrawAspect="Icon" ObjectID="_1774786723" r:id="rId12"/>
        </w:object>
      </w:r>
    </w:p>
    <w:p w14:paraId="53924344" w14:textId="77777777" w:rsidR="00EB78C5" w:rsidRPr="00A12D65" w:rsidRDefault="00EB78C5" w:rsidP="00EB78C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Sự kiện phát sinh sau ngày báo cáo tài chính</w:t>
      </w:r>
    </w:p>
    <w:p w14:paraId="2D2B7447" w14:textId="77777777" w:rsidR="00EB78C5" w:rsidRPr="00A12D65" w:rsidRDefault="00EB78C5" w:rsidP="00EB78C5">
      <w:pPr>
        <w:spacing w:before="120" w:after="120"/>
        <w:jc w:val="both"/>
        <w:rPr>
          <w:rFonts w:ascii="Times New Roman" w:eastAsia="Times New Roman" w:hAnsi="Times New Roman" w:cs="Times New Roman"/>
          <w:bCs/>
          <w:sz w:val="20"/>
          <w:szCs w:val="20"/>
        </w:rPr>
      </w:pPr>
      <w:r w:rsidRPr="00A12D65">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tbl>
      <w:tblPr>
        <w:tblW w:w="9202" w:type="dxa"/>
        <w:tblInd w:w="-108" w:type="dxa"/>
        <w:tblLook w:val="04A0" w:firstRow="1" w:lastRow="0" w:firstColumn="1" w:lastColumn="0" w:noHBand="0" w:noVBand="1"/>
      </w:tblPr>
      <w:tblGrid>
        <w:gridCol w:w="3240"/>
        <w:gridCol w:w="2988"/>
        <w:gridCol w:w="2974"/>
      </w:tblGrid>
      <w:tr w:rsidR="00EB78C5" w:rsidRPr="00A12D65" w14:paraId="3E520E15" w14:textId="77777777" w:rsidTr="00813C30">
        <w:tc>
          <w:tcPr>
            <w:tcW w:w="3240" w:type="dxa"/>
            <w:vAlign w:val="bottom"/>
          </w:tcPr>
          <w:p w14:paraId="771882D5" w14:textId="77777777" w:rsidR="00EB78C5" w:rsidRPr="00A12D65" w:rsidRDefault="00EB78C5" w:rsidP="00813C30">
            <w:pPr>
              <w:tabs>
                <w:tab w:val="center" w:pos="4320"/>
              </w:tabs>
              <w:spacing w:before="120" w:after="120"/>
              <w:jc w:val="center"/>
              <w:rPr>
                <w:rFonts w:ascii="Times New Roman" w:hAnsi="Times New Roman" w:cs="Times New Roman"/>
                <w:sz w:val="20"/>
                <w:szCs w:val="20"/>
              </w:rPr>
            </w:pPr>
            <w:r w:rsidRPr="00A12D65">
              <w:rPr>
                <w:rFonts w:ascii="Times New Roman" w:hAnsi="Times New Roman" w:cs="Times New Roman"/>
                <w:sz w:val="20"/>
                <w:szCs w:val="20"/>
              </w:rPr>
              <w:t>Người lập</w:t>
            </w:r>
          </w:p>
        </w:tc>
        <w:tc>
          <w:tcPr>
            <w:tcW w:w="5962" w:type="dxa"/>
            <w:gridSpan w:val="2"/>
          </w:tcPr>
          <w:p w14:paraId="02602AAE" w14:textId="77777777" w:rsidR="00EB78C5" w:rsidRPr="00A12D65" w:rsidRDefault="00EB78C5" w:rsidP="00813C30">
            <w:pPr>
              <w:tabs>
                <w:tab w:val="left" w:pos="1083"/>
                <w:tab w:val="center" w:pos="2873"/>
              </w:tabs>
              <w:spacing w:before="120" w:after="120"/>
              <w:rPr>
                <w:rFonts w:ascii="Times New Roman" w:hAnsi="Times New Roman" w:cs="Times New Roman"/>
                <w:sz w:val="20"/>
                <w:szCs w:val="20"/>
              </w:rPr>
            </w:pPr>
            <w:r w:rsidRPr="00A12D65">
              <w:rPr>
                <w:rFonts w:ascii="Times New Roman" w:hAnsi="Times New Roman" w:cs="Times New Roman"/>
                <w:sz w:val="20"/>
                <w:szCs w:val="20"/>
              </w:rPr>
              <w:tab/>
            </w:r>
            <w:r w:rsidRPr="00A12D65">
              <w:rPr>
                <w:rFonts w:ascii="Times New Roman" w:hAnsi="Times New Roman" w:cs="Times New Roman"/>
                <w:sz w:val="20"/>
                <w:szCs w:val="20"/>
              </w:rPr>
              <w:tab/>
              <w:t>Người duyệt</w:t>
            </w:r>
          </w:p>
        </w:tc>
      </w:tr>
      <w:tr w:rsidR="00EB78C5" w:rsidRPr="00A12D65" w14:paraId="0C79C564" w14:textId="77777777" w:rsidTr="00813C30">
        <w:tc>
          <w:tcPr>
            <w:tcW w:w="3240" w:type="dxa"/>
            <w:vAlign w:val="bottom"/>
          </w:tcPr>
          <w:p w14:paraId="6CF3104C"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43C52E31"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7E89EDE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26C26C62" w14:textId="77777777" w:rsidTr="00813C30">
        <w:tc>
          <w:tcPr>
            <w:tcW w:w="3240" w:type="dxa"/>
            <w:vAlign w:val="bottom"/>
          </w:tcPr>
          <w:p w14:paraId="36963F9B"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3D12F29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1AF0E65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66484188" w14:textId="77777777" w:rsidTr="00813C30">
        <w:tc>
          <w:tcPr>
            <w:tcW w:w="3240" w:type="dxa"/>
            <w:vAlign w:val="bottom"/>
          </w:tcPr>
          <w:p w14:paraId="1828D7FD" w14:textId="77777777" w:rsidR="00EB78C5" w:rsidRDefault="00EB78C5" w:rsidP="00813C30">
            <w:pPr>
              <w:tabs>
                <w:tab w:val="center" w:pos="4320"/>
              </w:tabs>
              <w:spacing w:after="120"/>
              <w:jc w:val="both"/>
              <w:rPr>
                <w:rFonts w:ascii="Times New Roman" w:hAnsi="Times New Roman" w:cs="Times New Roman"/>
                <w:sz w:val="20"/>
                <w:szCs w:val="20"/>
              </w:rPr>
            </w:pPr>
          </w:p>
          <w:p w14:paraId="0C21CB64" w14:textId="77777777" w:rsidR="00ED339B" w:rsidRDefault="00ED339B" w:rsidP="00813C30">
            <w:pPr>
              <w:tabs>
                <w:tab w:val="center" w:pos="4320"/>
              </w:tabs>
              <w:spacing w:after="120"/>
              <w:jc w:val="both"/>
              <w:rPr>
                <w:rFonts w:ascii="Times New Roman" w:hAnsi="Times New Roman" w:cs="Times New Roman"/>
                <w:sz w:val="20"/>
                <w:szCs w:val="20"/>
              </w:rPr>
            </w:pPr>
          </w:p>
          <w:p w14:paraId="0BC4A2FA" w14:textId="71F2D6A7" w:rsidR="00ED339B" w:rsidRPr="00A12D65" w:rsidRDefault="00ED339B" w:rsidP="00813C30">
            <w:pPr>
              <w:tabs>
                <w:tab w:val="center" w:pos="4320"/>
              </w:tabs>
              <w:spacing w:after="120"/>
              <w:jc w:val="both"/>
              <w:rPr>
                <w:rFonts w:ascii="Times New Roman" w:hAnsi="Times New Roman" w:cs="Times New Roman"/>
                <w:sz w:val="20"/>
                <w:szCs w:val="20"/>
              </w:rPr>
            </w:pPr>
          </w:p>
        </w:tc>
        <w:tc>
          <w:tcPr>
            <w:tcW w:w="2988" w:type="dxa"/>
          </w:tcPr>
          <w:p w14:paraId="11AD0D37"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36E0B9E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7B5D45C9" w14:textId="77777777" w:rsidTr="00813C30">
        <w:tc>
          <w:tcPr>
            <w:tcW w:w="3240" w:type="dxa"/>
            <w:vAlign w:val="bottom"/>
          </w:tcPr>
          <w:p w14:paraId="7D06F936"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0F9381A9"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28E1D962"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F73146" w14:paraId="70BF8171" w14:textId="77777777" w:rsidTr="00813C30">
        <w:tc>
          <w:tcPr>
            <w:tcW w:w="3240" w:type="dxa"/>
            <w:vAlign w:val="bottom"/>
          </w:tcPr>
          <w:p w14:paraId="444B3145" w14:textId="018F7C7E" w:rsidR="00170E45" w:rsidRPr="00802ADA" w:rsidRDefault="00F66A80" w:rsidP="00170E45">
            <w:pPr>
              <w:tabs>
                <w:tab w:val="center" w:pos="4320"/>
              </w:tabs>
              <w:spacing w:after="120"/>
              <w:jc w:val="center"/>
              <w:rPr>
                <w:rFonts w:ascii="Times New Roman" w:hAnsi="Times New Roman" w:cs="Times New Roman"/>
                <w:b/>
                <w:bCs/>
                <w:sz w:val="20"/>
                <w:szCs w:val="20"/>
                <w:lang w:val="vi-VN"/>
              </w:rPr>
            </w:pPr>
            <w:r w:rsidRPr="00F66A80">
              <w:rPr>
                <w:rFonts w:ascii="Times New Roman" w:hAnsi="Times New Roman" w:cs="Times New Roman"/>
                <w:b/>
                <w:bCs/>
                <w:sz w:val="20"/>
                <w:szCs w:val="20"/>
                <w:lang w:val="vi-VN"/>
              </w:rPr>
              <w:t xml:space="preserve">Nguyễn Thị </w:t>
            </w:r>
            <w:r w:rsidR="0044257C">
              <w:rPr>
                <w:rFonts w:ascii="Times New Roman" w:hAnsi="Times New Roman" w:cs="Times New Roman"/>
                <w:b/>
                <w:bCs/>
                <w:sz w:val="20"/>
                <w:szCs w:val="20"/>
                <w:lang w:val="vi-VN"/>
              </w:rPr>
              <w:t>Thùy Ninh</w:t>
            </w:r>
          </w:p>
        </w:tc>
        <w:tc>
          <w:tcPr>
            <w:tcW w:w="2988" w:type="dxa"/>
          </w:tcPr>
          <w:p w14:paraId="13AE0AA5"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c>
          <w:tcPr>
            <w:tcW w:w="2974" w:type="dxa"/>
          </w:tcPr>
          <w:p w14:paraId="16DB28F8"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r>
    </w:tbl>
    <w:p w14:paraId="456B5C25" w14:textId="14D31F22" w:rsidR="00B71FF1" w:rsidRPr="00F73146" w:rsidRDefault="00B71FF1" w:rsidP="000A44D1">
      <w:pPr>
        <w:spacing w:after="120"/>
        <w:jc w:val="both"/>
        <w:rPr>
          <w:rFonts w:ascii="Times New Roman" w:hAnsi="Times New Roman" w:cs="Times New Roman"/>
          <w:sz w:val="20"/>
          <w:szCs w:val="20"/>
        </w:rPr>
      </w:pPr>
    </w:p>
    <w:sectPr w:rsidR="00B71FF1" w:rsidRPr="00F73146" w:rsidSect="0059527D">
      <w:headerReference w:type="default" r:id="rId13"/>
      <w:footerReference w:type="default" r:id="rId14"/>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091A" w14:textId="77777777" w:rsidR="00DD6E13" w:rsidRDefault="00DD6E13" w:rsidP="002169ED">
      <w:pPr>
        <w:spacing w:after="0" w:line="240" w:lineRule="auto"/>
      </w:pPr>
      <w:r>
        <w:separator/>
      </w:r>
    </w:p>
  </w:endnote>
  <w:endnote w:type="continuationSeparator" w:id="0">
    <w:p w14:paraId="442663B7" w14:textId="77777777" w:rsidR="00DD6E13" w:rsidRDefault="00DD6E1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BC" w14:textId="77777777" w:rsidR="00DD6E13" w:rsidRDefault="00DD6E13" w:rsidP="002169ED">
      <w:pPr>
        <w:spacing w:after="0" w:line="240" w:lineRule="auto"/>
      </w:pPr>
      <w:r>
        <w:separator/>
      </w:r>
    </w:p>
  </w:footnote>
  <w:footnote w:type="continuationSeparator" w:id="0">
    <w:p w14:paraId="4492536D" w14:textId="77777777" w:rsidR="00DD6E13" w:rsidRDefault="00DD6E1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6CDD24AB" w:rsidR="007D52F6" w:rsidRDefault="007D52F6">
    <w:pPr>
      <w:pStyle w:val="Header"/>
    </w:pPr>
    <w:r>
      <w:rPr>
        <w:noProof/>
      </w:rPr>
      <mc:AlternateContent>
        <mc:Choice Requires="wps">
          <w:drawing>
            <wp:anchor distT="0" distB="0" distL="114300" distR="114300" simplePos="0" relativeHeight="251659264" behindDoc="0" locked="0" layoutInCell="0" allowOverlap="1" wp14:anchorId="7AD4AC3A" wp14:editId="485293D7">
              <wp:simplePos x="0" y="0"/>
              <wp:positionH relativeFrom="page">
                <wp:posOffset>0</wp:posOffset>
              </wp:positionH>
              <wp:positionV relativeFrom="page">
                <wp:posOffset>190500</wp:posOffset>
              </wp:positionV>
              <wp:extent cx="7560310" cy="266700"/>
              <wp:effectExtent l="0" t="0" r="0" b="0"/>
              <wp:wrapNone/>
              <wp:docPr id="1" name="MSIPCMd29843c4aacd6fe62ad6dec6"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20C9DB" w14:textId="32EB2E9C" w:rsidR="007D52F6" w:rsidRPr="00003FD1" w:rsidRDefault="00003FD1" w:rsidP="00003FD1">
                          <w:pPr>
                            <w:spacing w:after="0"/>
                            <w:rPr>
                              <w:rFonts w:ascii="Arial" w:hAnsi="Arial" w:cs="Arial"/>
                              <w:color w:val="317100"/>
                              <w:sz w:val="18"/>
                            </w:rPr>
                          </w:pPr>
                          <w:r w:rsidRPr="00003FD1">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AD4AC3A" id="_x0000_t202" coordsize="21600,21600" o:spt="202" path="m,l,21600r21600,l21600,xe">
              <v:stroke joinstyle="miter"/>
              <v:path gradientshapeok="t" o:connecttype="rect"/>
            </v:shapetype>
            <v:shape id="MSIPCMd29843c4aacd6fe62ad6dec6" o:spid="_x0000_s1026" type="#_x0000_t202" alt="{&quot;HashCode&quot;:1968695115,&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o:allowincell="f" filled="f" stroked="f" strokeweight=".5pt">
              <v:textbox inset="20pt,0,,0">
                <w:txbxContent>
                  <w:p w14:paraId="1E20C9DB" w14:textId="32EB2E9C" w:rsidR="007D52F6" w:rsidRPr="00003FD1" w:rsidRDefault="00003FD1" w:rsidP="00003FD1">
                    <w:pPr>
                      <w:spacing w:after="0"/>
                      <w:rPr>
                        <w:rFonts w:ascii="Arial" w:hAnsi="Arial" w:cs="Arial"/>
                        <w:color w:val="317100"/>
                        <w:sz w:val="18"/>
                      </w:rPr>
                    </w:pPr>
                    <w:r w:rsidRPr="00003FD1">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18"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91565"/>
    <w:multiLevelType w:val="hybridMultilevel"/>
    <w:tmpl w:val="FC665C50"/>
    <w:lvl w:ilvl="0" w:tplc="AD229F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5103254">
    <w:abstractNumId w:val="9"/>
  </w:num>
  <w:num w:numId="2" w16cid:durableId="732236693">
    <w:abstractNumId w:val="12"/>
  </w:num>
  <w:num w:numId="3" w16cid:durableId="1416244943">
    <w:abstractNumId w:val="11"/>
  </w:num>
  <w:num w:numId="4" w16cid:durableId="202643536">
    <w:abstractNumId w:val="3"/>
  </w:num>
  <w:num w:numId="5" w16cid:durableId="727070614">
    <w:abstractNumId w:val="4"/>
  </w:num>
  <w:num w:numId="6" w16cid:durableId="2023194488">
    <w:abstractNumId w:val="1"/>
  </w:num>
  <w:num w:numId="7" w16cid:durableId="193271352">
    <w:abstractNumId w:val="21"/>
  </w:num>
  <w:num w:numId="8" w16cid:durableId="508905437">
    <w:abstractNumId w:val="0"/>
  </w:num>
  <w:num w:numId="9" w16cid:durableId="698821205">
    <w:abstractNumId w:val="17"/>
  </w:num>
  <w:num w:numId="10" w16cid:durableId="1645618746">
    <w:abstractNumId w:val="7"/>
  </w:num>
  <w:num w:numId="11" w16cid:durableId="991447214">
    <w:abstractNumId w:val="2"/>
  </w:num>
  <w:num w:numId="12" w16cid:durableId="1782143328">
    <w:abstractNumId w:val="15"/>
  </w:num>
  <w:num w:numId="13" w16cid:durableId="402945217">
    <w:abstractNumId w:val="18"/>
  </w:num>
  <w:num w:numId="14" w16cid:durableId="628630789">
    <w:abstractNumId w:val="16"/>
  </w:num>
  <w:num w:numId="15" w16cid:durableId="1548562287">
    <w:abstractNumId w:val="14"/>
  </w:num>
  <w:num w:numId="16" w16cid:durableId="1835798670">
    <w:abstractNumId w:val="6"/>
  </w:num>
  <w:num w:numId="17" w16cid:durableId="203955984">
    <w:abstractNumId w:val="10"/>
  </w:num>
  <w:num w:numId="18" w16cid:durableId="454910779">
    <w:abstractNumId w:val="19"/>
  </w:num>
  <w:num w:numId="19" w16cid:durableId="1528443324">
    <w:abstractNumId w:val="13"/>
  </w:num>
  <w:num w:numId="20" w16cid:durableId="1593316746">
    <w:abstractNumId w:val="5"/>
  </w:num>
  <w:num w:numId="21" w16cid:durableId="639697388">
    <w:abstractNumId w:val="8"/>
  </w:num>
  <w:num w:numId="22" w16cid:durableId="1879203370">
    <w:abstractNumId w:val="22"/>
  </w:num>
  <w:num w:numId="23" w16cid:durableId="127994801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03FD1"/>
    <w:rsid w:val="00010B9F"/>
    <w:rsid w:val="00011FCD"/>
    <w:rsid w:val="000133D9"/>
    <w:rsid w:val="0001738C"/>
    <w:rsid w:val="00020097"/>
    <w:rsid w:val="00020907"/>
    <w:rsid w:val="00020ABB"/>
    <w:rsid w:val="0002168E"/>
    <w:rsid w:val="00022651"/>
    <w:rsid w:val="00026829"/>
    <w:rsid w:val="0003006F"/>
    <w:rsid w:val="000302B8"/>
    <w:rsid w:val="000310EF"/>
    <w:rsid w:val="00031AB9"/>
    <w:rsid w:val="00032F24"/>
    <w:rsid w:val="00032F5C"/>
    <w:rsid w:val="00033C36"/>
    <w:rsid w:val="00034281"/>
    <w:rsid w:val="00035255"/>
    <w:rsid w:val="00036413"/>
    <w:rsid w:val="00036740"/>
    <w:rsid w:val="00036FA4"/>
    <w:rsid w:val="000372D1"/>
    <w:rsid w:val="00040936"/>
    <w:rsid w:val="00040AA0"/>
    <w:rsid w:val="000415A5"/>
    <w:rsid w:val="00042B68"/>
    <w:rsid w:val="0004512C"/>
    <w:rsid w:val="0004541B"/>
    <w:rsid w:val="00046861"/>
    <w:rsid w:val="00046B69"/>
    <w:rsid w:val="00046EE6"/>
    <w:rsid w:val="0004734A"/>
    <w:rsid w:val="000504D4"/>
    <w:rsid w:val="00050A36"/>
    <w:rsid w:val="00051F45"/>
    <w:rsid w:val="00052F29"/>
    <w:rsid w:val="000611CE"/>
    <w:rsid w:val="00061813"/>
    <w:rsid w:val="00062EBC"/>
    <w:rsid w:val="00063EB4"/>
    <w:rsid w:val="00064614"/>
    <w:rsid w:val="000647A4"/>
    <w:rsid w:val="000665AA"/>
    <w:rsid w:val="00067589"/>
    <w:rsid w:val="00067BFC"/>
    <w:rsid w:val="000700C4"/>
    <w:rsid w:val="000714BB"/>
    <w:rsid w:val="000715A1"/>
    <w:rsid w:val="0007287B"/>
    <w:rsid w:val="00076E68"/>
    <w:rsid w:val="00080FD8"/>
    <w:rsid w:val="000824BF"/>
    <w:rsid w:val="00082B61"/>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4D1"/>
    <w:rsid w:val="000A4580"/>
    <w:rsid w:val="000A5BD0"/>
    <w:rsid w:val="000A77C4"/>
    <w:rsid w:val="000B4458"/>
    <w:rsid w:val="000B471A"/>
    <w:rsid w:val="000B4D0A"/>
    <w:rsid w:val="000B5ED6"/>
    <w:rsid w:val="000B656A"/>
    <w:rsid w:val="000B74A5"/>
    <w:rsid w:val="000C0017"/>
    <w:rsid w:val="000C09EF"/>
    <w:rsid w:val="000C149F"/>
    <w:rsid w:val="000C2627"/>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75A"/>
    <w:rsid w:val="000E2C5C"/>
    <w:rsid w:val="000E5464"/>
    <w:rsid w:val="000E58C2"/>
    <w:rsid w:val="000E79A5"/>
    <w:rsid w:val="000F04AA"/>
    <w:rsid w:val="000F382F"/>
    <w:rsid w:val="000F465D"/>
    <w:rsid w:val="000F709F"/>
    <w:rsid w:val="001003B8"/>
    <w:rsid w:val="001024BE"/>
    <w:rsid w:val="001030BB"/>
    <w:rsid w:val="00103DD1"/>
    <w:rsid w:val="001040CF"/>
    <w:rsid w:val="0010506B"/>
    <w:rsid w:val="0010609A"/>
    <w:rsid w:val="00106453"/>
    <w:rsid w:val="001068EB"/>
    <w:rsid w:val="00106FEE"/>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403DC"/>
    <w:rsid w:val="0014569C"/>
    <w:rsid w:val="00146625"/>
    <w:rsid w:val="00146688"/>
    <w:rsid w:val="0015006F"/>
    <w:rsid w:val="001508FF"/>
    <w:rsid w:val="00152B2B"/>
    <w:rsid w:val="001543E8"/>
    <w:rsid w:val="0015632D"/>
    <w:rsid w:val="00157B08"/>
    <w:rsid w:val="00161135"/>
    <w:rsid w:val="001628BF"/>
    <w:rsid w:val="0016461A"/>
    <w:rsid w:val="00164A3E"/>
    <w:rsid w:val="00166AEE"/>
    <w:rsid w:val="00167058"/>
    <w:rsid w:val="00170E45"/>
    <w:rsid w:val="00171F86"/>
    <w:rsid w:val="0017201F"/>
    <w:rsid w:val="0017207B"/>
    <w:rsid w:val="00172823"/>
    <w:rsid w:val="00172DBC"/>
    <w:rsid w:val="001733E1"/>
    <w:rsid w:val="00174607"/>
    <w:rsid w:val="00174655"/>
    <w:rsid w:val="001746A9"/>
    <w:rsid w:val="0017727D"/>
    <w:rsid w:val="00185740"/>
    <w:rsid w:val="00185A74"/>
    <w:rsid w:val="00185EA7"/>
    <w:rsid w:val="001866CF"/>
    <w:rsid w:val="00193748"/>
    <w:rsid w:val="001938CE"/>
    <w:rsid w:val="0019606A"/>
    <w:rsid w:val="001963C9"/>
    <w:rsid w:val="001966B0"/>
    <w:rsid w:val="00196B8B"/>
    <w:rsid w:val="00197D53"/>
    <w:rsid w:val="001A029D"/>
    <w:rsid w:val="001A28DA"/>
    <w:rsid w:val="001A2BA4"/>
    <w:rsid w:val="001A2FA8"/>
    <w:rsid w:val="001A316E"/>
    <w:rsid w:val="001A4AD1"/>
    <w:rsid w:val="001A5AF8"/>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552C"/>
    <w:rsid w:val="002126DB"/>
    <w:rsid w:val="00213EE0"/>
    <w:rsid w:val="0021609C"/>
    <w:rsid w:val="002165A6"/>
    <w:rsid w:val="002165B7"/>
    <w:rsid w:val="002169ED"/>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25F0"/>
    <w:rsid w:val="00253677"/>
    <w:rsid w:val="0025391A"/>
    <w:rsid w:val="00253FEC"/>
    <w:rsid w:val="002610B7"/>
    <w:rsid w:val="002644DF"/>
    <w:rsid w:val="00265982"/>
    <w:rsid w:val="002668DC"/>
    <w:rsid w:val="00266F60"/>
    <w:rsid w:val="002673A2"/>
    <w:rsid w:val="00267ABF"/>
    <w:rsid w:val="00270B24"/>
    <w:rsid w:val="0027444F"/>
    <w:rsid w:val="0028005A"/>
    <w:rsid w:val="002810E7"/>
    <w:rsid w:val="00282E0F"/>
    <w:rsid w:val="00283CDD"/>
    <w:rsid w:val="00283F1B"/>
    <w:rsid w:val="00284965"/>
    <w:rsid w:val="00284D7A"/>
    <w:rsid w:val="0028518B"/>
    <w:rsid w:val="0028518D"/>
    <w:rsid w:val="002859D5"/>
    <w:rsid w:val="00285DF4"/>
    <w:rsid w:val="00286A60"/>
    <w:rsid w:val="00286D87"/>
    <w:rsid w:val="00287044"/>
    <w:rsid w:val="00287ECC"/>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41B"/>
    <w:rsid w:val="002D2360"/>
    <w:rsid w:val="002D255C"/>
    <w:rsid w:val="002D355E"/>
    <w:rsid w:val="002D397C"/>
    <w:rsid w:val="002D5051"/>
    <w:rsid w:val="002D5345"/>
    <w:rsid w:val="002D6840"/>
    <w:rsid w:val="002D6BAA"/>
    <w:rsid w:val="002E0553"/>
    <w:rsid w:val="002E0A9F"/>
    <w:rsid w:val="002E0BFA"/>
    <w:rsid w:val="002E35BB"/>
    <w:rsid w:val="002E39B4"/>
    <w:rsid w:val="002E5830"/>
    <w:rsid w:val="002E7753"/>
    <w:rsid w:val="002F10EC"/>
    <w:rsid w:val="002F1859"/>
    <w:rsid w:val="002F2827"/>
    <w:rsid w:val="002F3B55"/>
    <w:rsid w:val="00300813"/>
    <w:rsid w:val="00301AA0"/>
    <w:rsid w:val="0030243E"/>
    <w:rsid w:val="00304B1B"/>
    <w:rsid w:val="00305D5B"/>
    <w:rsid w:val="00310513"/>
    <w:rsid w:val="0031229B"/>
    <w:rsid w:val="0031378E"/>
    <w:rsid w:val="003149F2"/>
    <w:rsid w:val="00314DF3"/>
    <w:rsid w:val="0031519F"/>
    <w:rsid w:val="00315886"/>
    <w:rsid w:val="00316100"/>
    <w:rsid w:val="003165F0"/>
    <w:rsid w:val="00316BE4"/>
    <w:rsid w:val="00317774"/>
    <w:rsid w:val="00320166"/>
    <w:rsid w:val="00320E64"/>
    <w:rsid w:val="00323D05"/>
    <w:rsid w:val="003242E7"/>
    <w:rsid w:val="00326572"/>
    <w:rsid w:val="003265CD"/>
    <w:rsid w:val="00326FB6"/>
    <w:rsid w:val="00327102"/>
    <w:rsid w:val="003307F7"/>
    <w:rsid w:val="00334018"/>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EC9"/>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30D5"/>
    <w:rsid w:val="00396906"/>
    <w:rsid w:val="003A0919"/>
    <w:rsid w:val="003A20AE"/>
    <w:rsid w:val="003A2E10"/>
    <w:rsid w:val="003A3354"/>
    <w:rsid w:val="003A4499"/>
    <w:rsid w:val="003A48BD"/>
    <w:rsid w:val="003A4F58"/>
    <w:rsid w:val="003A70AB"/>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1027F"/>
    <w:rsid w:val="0041060A"/>
    <w:rsid w:val="0041185E"/>
    <w:rsid w:val="00413137"/>
    <w:rsid w:val="00413AB1"/>
    <w:rsid w:val="00414062"/>
    <w:rsid w:val="00415641"/>
    <w:rsid w:val="00416093"/>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257C"/>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C49"/>
    <w:rsid w:val="0046434C"/>
    <w:rsid w:val="0046449D"/>
    <w:rsid w:val="0046647D"/>
    <w:rsid w:val="00467D6D"/>
    <w:rsid w:val="00470921"/>
    <w:rsid w:val="00470B47"/>
    <w:rsid w:val="00471D7F"/>
    <w:rsid w:val="00474584"/>
    <w:rsid w:val="00474A15"/>
    <w:rsid w:val="00480AA5"/>
    <w:rsid w:val="004816E4"/>
    <w:rsid w:val="00484CE8"/>
    <w:rsid w:val="0048520A"/>
    <w:rsid w:val="00485C0F"/>
    <w:rsid w:val="00486A9E"/>
    <w:rsid w:val="004875EC"/>
    <w:rsid w:val="00487E07"/>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51A4"/>
    <w:rsid w:val="004A7254"/>
    <w:rsid w:val="004B1813"/>
    <w:rsid w:val="004B38DB"/>
    <w:rsid w:val="004B3984"/>
    <w:rsid w:val="004B4324"/>
    <w:rsid w:val="004B55D0"/>
    <w:rsid w:val="004B581E"/>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46DB"/>
    <w:rsid w:val="005B4845"/>
    <w:rsid w:val="005B6C40"/>
    <w:rsid w:val="005B6DDC"/>
    <w:rsid w:val="005B76CD"/>
    <w:rsid w:val="005C0B6E"/>
    <w:rsid w:val="005C2532"/>
    <w:rsid w:val="005C27E4"/>
    <w:rsid w:val="005C40FE"/>
    <w:rsid w:val="005C418D"/>
    <w:rsid w:val="005C5FA3"/>
    <w:rsid w:val="005C6356"/>
    <w:rsid w:val="005C7305"/>
    <w:rsid w:val="005D0603"/>
    <w:rsid w:val="005D12CD"/>
    <w:rsid w:val="005D2DE0"/>
    <w:rsid w:val="005D3847"/>
    <w:rsid w:val="005D4554"/>
    <w:rsid w:val="005D4C16"/>
    <w:rsid w:val="005D64A4"/>
    <w:rsid w:val="005D651E"/>
    <w:rsid w:val="005D77C0"/>
    <w:rsid w:val="005E099E"/>
    <w:rsid w:val="005E3DCF"/>
    <w:rsid w:val="005E5001"/>
    <w:rsid w:val="005E677D"/>
    <w:rsid w:val="005E6A4C"/>
    <w:rsid w:val="005E7F3D"/>
    <w:rsid w:val="005F0EEF"/>
    <w:rsid w:val="005F13BE"/>
    <w:rsid w:val="005F4897"/>
    <w:rsid w:val="00600BA3"/>
    <w:rsid w:val="00600EEB"/>
    <w:rsid w:val="006031D0"/>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5A1E"/>
    <w:rsid w:val="00646CCD"/>
    <w:rsid w:val="00646E75"/>
    <w:rsid w:val="00655983"/>
    <w:rsid w:val="00656804"/>
    <w:rsid w:val="00657909"/>
    <w:rsid w:val="00660D0E"/>
    <w:rsid w:val="00662A4F"/>
    <w:rsid w:val="0066696C"/>
    <w:rsid w:val="006707D3"/>
    <w:rsid w:val="00670EE3"/>
    <w:rsid w:val="00673437"/>
    <w:rsid w:val="00673BAD"/>
    <w:rsid w:val="0067435E"/>
    <w:rsid w:val="00677C6B"/>
    <w:rsid w:val="006804A8"/>
    <w:rsid w:val="0068053C"/>
    <w:rsid w:val="00681E11"/>
    <w:rsid w:val="0068245D"/>
    <w:rsid w:val="00682AD0"/>
    <w:rsid w:val="00684296"/>
    <w:rsid w:val="00684FA8"/>
    <w:rsid w:val="006864F3"/>
    <w:rsid w:val="006871B7"/>
    <w:rsid w:val="0068729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73FA"/>
    <w:rsid w:val="00707D10"/>
    <w:rsid w:val="0071007E"/>
    <w:rsid w:val="00710097"/>
    <w:rsid w:val="007109E2"/>
    <w:rsid w:val="007117A6"/>
    <w:rsid w:val="00714517"/>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7584"/>
    <w:rsid w:val="00744F5D"/>
    <w:rsid w:val="007458C2"/>
    <w:rsid w:val="00746182"/>
    <w:rsid w:val="00746968"/>
    <w:rsid w:val="007477D9"/>
    <w:rsid w:val="00747949"/>
    <w:rsid w:val="00752873"/>
    <w:rsid w:val="00756CB5"/>
    <w:rsid w:val="00757D07"/>
    <w:rsid w:val="00761C0D"/>
    <w:rsid w:val="00763315"/>
    <w:rsid w:val="00763F63"/>
    <w:rsid w:val="007665CA"/>
    <w:rsid w:val="00775D3B"/>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61C4"/>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D9F"/>
    <w:rsid w:val="007F55FA"/>
    <w:rsid w:val="007F5ACB"/>
    <w:rsid w:val="007F6A55"/>
    <w:rsid w:val="007F6C52"/>
    <w:rsid w:val="008003FE"/>
    <w:rsid w:val="008018C1"/>
    <w:rsid w:val="00802ADA"/>
    <w:rsid w:val="0080328D"/>
    <w:rsid w:val="008032F3"/>
    <w:rsid w:val="0080717E"/>
    <w:rsid w:val="00807DA6"/>
    <w:rsid w:val="00807FB4"/>
    <w:rsid w:val="00810C57"/>
    <w:rsid w:val="00811A60"/>
    <w:rsid w:val="00813E26"/>
    <w:rsid w:val="008143B2"/>
    <w:rsid w:val="00815DEE"/>
    <w:rsid w:val="00821098"/>
    <w:rsid w:val="00821A12"/>
    <w:rsid w:val="00821E04"/>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4CA0"/>
    <w:rsid w:val="008679DA"/>
    <w:rsid w:val="00873705"/>
    <w:rsid w:val="00875C69"/>
    <w:rsid w:val="00877B44"/>
    <w:rsid w:val="0088167E"/>
    <w:rsid w:val="00881B5D"/>
    <w:rsid w:val="00882484"/>
    <w:rsid w:val="008833D3"/>
    <w:rsid w:val="008849DC"/>
    <w:rsid w:val="00886CF9"/>
    <w:rsid w:val="00891B23"/>
    <w:rsid w:val="00891C8A"/>
    <w:rsid w:val="008923ED"/>
    <w:rsid w:val="008928C2"/>
    <w:rsid w:val="00893CD1"/>
    <w:rsid w:val="00896431"/>
    <w:rsid w:val="00896F36"/>
    <w:rsid w:val="008A068B"/>
    <w:rsid w:val="008A0CC8"/>
    <w:rsid w:val="008A11DC"/>
    <w:rsid w:val="008A1833"/>
    <w:rsid w:val="008A211A"/>
    <w:rsid w:val="008A66CC"/>
    <w:rsid w:val="008A6DB2"/>
    <w:rsid w:val="008B06D4"/>
    <w:rsid w:val="008B2337"/>
    <w:rsid w:val="008B3AAB"/>
    <w:rsid w:val="008B3D9B"/>
    <w:rsid w:val="008C125D"/>
    <w:rsid w:val="008C2445"/>
    <w:rsid w:val="008C3517"/>
    <w:rsid w:val="008C472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CCB"/>
    <w:rsid w:val="008F1AAB"/>
    <w:rsid w:val="008F2A9F"/>
    <w:rsid w:val="008F2F77"/>
    <w:rsid w:val="008F39C4"/>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3045"/>
    <w:rsid w:val="00953F9C"/>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5045"/>
    <w:rsid w:val="00996810"/>
    <w:rsid w:val="009A31D3"/>
    <w:rsid w:val="009A530D"/>
    <w:rsid w:val="009A59B0"/>
    <w:rsid w:val="009B0BEB"/>
    <w:rsid w:val="009B2CC9"/>
    <w:rsid w:val="009B3576"/>
    <w:rsid w:val="009B3E38"/>
    <w:rsid w:val="009B4750"/>
    <w:rsid w:val="009B6969"/>
    <w:rsid w:val="009B6D22"/>
    <w:rsid w:val="009C27A8"/>
    <w:rsid w:val="009C2FC2"/>
    <w:rsid w:val="009C602E"/>
    <w:rsid w:val="009C6520"/>
    <w:rsid w:val="009D1597"/>
    <w:rsid w:val="009D17E7"/>
    <w:rsid w:val="009D3D83"/>
    <w:rsid w:val="009E1A7A"/>
    <w:rsid w:val="009E234F"/>
    <w:rsid w:val="009E2617"/>
    <w:rsid w:val="009E2756"/>
    <w:rsid w:val="009E2D20"/>
    <w:rsid w:val="009E4505"/>
    <w:rsid w:val="009E46CD"/>
    <w:rsid w:val="009E6869"/>
    <w:rsid w:val="009E6C9A"/>
    <w:rsid w:val="009E6D3F"/>
    <w:rsid w:val="009F0CBF"/>
    <w:rsid w:val="009F2BEF"/>
    <w:rsid w:val="009F3F4B"/>
    <w:rsid w:val="009F545C"/>
    <w:rsid w:val="009F62D7"/>
    <w:rsid w:val="009F7489"/>
    <w:rsid w:val="009F792D"/>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75E2"/>
    <w:rsid w:val="00A2048C"/>
    <w:rsid w:val="00A20F27"/>
    <w:rsid w:val="00A242FF"/>
    <w:rsid w:val="00A248DB"/>
    <w:rsid w:val="00A266A5"/>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87E"/>
    <w:rsid w:val="00A85E10"/>
    <w:rsid w:val="00A86536"/>
    <w:rsid w:val="00A93152"/>
    <w:rsid w:val="00A93917"/>
    <w:rsid w:val="00A948E8"/>
    <w:rsid w:val="00A9619D"/>
    <w:rsid w:val="00A9652C"/>
    <w:rsid w:val="00AA0936"/>
    <w:rsid w:val="00AA13B9"/>
    <w:rsid w:val="00AA2659"/>
    <w:rsid w:val="00AA4C1B"/>
    <w:rsid w:val="00AA61C3"/>
    <w:rsid w:val="00AA6433"/>
    <w:rsid w:val="00AA71D5"/>
    <w:rsid w:val="00AA7DB2"/>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C03"/>
    <w:rsid w:val="00AE7421"/>
    <w:rsid w:val="00AF00AC"/>
    <w:rsid w:val="00AF0530"/>
    <w:rsid w:val="00AF053D"/>
    <w:rsid w:val="00AF111B"/>
    <w:rsid w:val="00AF1125"/>
    <w:rsid w:val="00AF28BA"/>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5078"/>
    <w:rsid w:val="00B75AD9"/>
    <w:rsid w:val="00B8096C"/>
    <w:rsid w:val="00B80D6B"/>
    <w:rsid w:val="00B813A7"/>
    <w:rsid w:val="00B8174F"/>
    <w:rsid w:val="00B84041"/>
    <w:rsid w:val="00B852C8"/>
    <w:rsid w:val="00B86290"/>
    <w:rsid w:val="00B9015D"/>
    <w:rsid w:val="00B9184C"/>
    <w:rsid w:val="00B94240"/>
    <w:rsid w:val="00B952ED"/>
    <w:rsid w:val="00B965CC"/>
    <w:rsid w:val="00B971EA"/>
    <w:rsid w:val="00B9742E"/>
    <w:rsid w:val="00BA18E8"/>
    <w:rsid w:val="00BA3D8D"/>
    <w:rsid w:val="00BA3F44"/>
    <w:rsid w:val="00BA47A6"/>
    <w:rsid w:val="00BB03F8"/>
    <w:rsid w:val="00BB06BE"/>
    <w:rsid w:val="00BB081E"/>
    <w:rsid w:val="00BB20CF"/>
    <w:rsid w:val="00BB2EDD"/>
    <w:rsid w:val="00BB63A5"/>
    <w:rsid w:val="00BB66FF"/>
    <w:rsid w:val="00BB713E"/>
    <w:rsid w:val="00BC0653"/>
    <w:rsid w:val="00BC0688"/>
    <w:rsid w:val="00BC099F"/>
    <w:rsid w:val="00BC0DA1"/>
    <w:rsid w:val="00BC4F8F"/>
    <w:rsid w:val="00BC53F9"/>
    <w:rsid w:val="00BC5720"/>
    <w:rsid w:val="00BC5852"/>
    <w:rsid w:val="00BC67F0"/>
    <w:rsid w:val="00BC7734"/>
    <w:rsid w:val="00BC7E06"/>
    <w:rsid w:val="00BD0629"/>
    <w:rsid w:val="00BD2259"/>
    <w:rsid w:val="00BD246A"/>
    <w:rsid w:val="00BD2B14"/>
    <w:rsid w:val="00BD3CBC"/>
    <w:rsid w:val="00BD47A4"/>
    <w:rsid w:val="00BD67EF"/>
    <w:rsid w:val="00BD68F4"/>
    <w:rsid w:val="00BD7429"/>
    <w:rsid w:val="00BD7739"/>
    <w:rsid w:val="00BE0DA3"/>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49CF"/>
    <w:rsid w:val="00CC5211"/>
    <w:rsid w:val="00CC71F4"/>
    <w:rsid w:val="00CD0328"/>
    <w:rsid w:val="00CD0A43"/>
    <w:rsid w:val="00CD12B3"/>
    <w:rsid w:val="00CD1AB4"/>
    <w:rsid w:val="00CD3B4B"/>
    <w:rsid w:val="00CD55CB"/>
    <w:rsid w:val="00CD6A39"/>
    <w:rsid w:val="00CD6A96"/>
    <w:rsid w:val="00CD6C32"/>
    <w:rsid w:val="00CE0232"/>
    <w:rsid w:val="00CE159C"/>
    <w:rsid w:val="00CE1FD3"/>
    <w:rsid w:val="00CE2AFD"/>
    <w:rsid w:val="00CE2C5A"/>
    <w:rsid w:val="00CE2D79"/>
    <w:rsid w:val="00CE4C8E"/>
    <w:rsid w:val="00CE5BC8"/>
    <w:rsid w:val="00CE770A"/>
    <w:rsid w:val="00CF0DB8"/>
    <w:rsid w:val="00CF4E99"/>
    <w:rsid w:val="00CF5E76"/>
    <w:rsid w:val="00CF715E"/>
    <w:rsid w:val="00D00D6A"/>
    <w:rsid w:val="00D01588"/>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A57"/>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2F34"/>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429"/>
    <w:rsid w:val="00D67F6F"/>
    <w:rsid w:val="00D710FB"/>
    <w:rsid w:val="00D71786"/>
    <w:rsid w:val="00D72179"/>
    <w:rsid w:val="00D752D9"/>
    <w:rsid w:val="00D759D1"/>
    <w:rsid w:val="00D762F6"/>
    <w:rsid w:val="00D77CAE"/>
    <w:rsid w:val="00D806AA"/>
    <w:rsid w:val="00D81020"/>
    <w:rsid w:val="00D852C1"/>
    <w:rsid w:val="00D951CE"/>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6E13"/>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037"/>
    <w:rsid w:val="00EB2AAE"/>
    <w:rsid w:val="00EB4516"/>
    <w:rsid w:val="00EB4A74"/>
    <w:rsid w:val="00EB5117"/>
    <w:rsid w:val="00EB5727"/>
    <w:rsid w:val="00EB7003"/>
    <w:rsid w:val="00EB78C5"/>
    <w:rsid w:val="00EB7F48"/>
    <w:rsid w:val="00EC0F47"/>
    <w:rsid w:val="00EC3767"/>
    <w:rsid w:val="00EC3DB6"/>
    <w:rsid w:val="00EC41CE"/>
    <w:rsid w:val="00EC4530"/>
    <w:rsid w:val="00EC7BE7"/>
    <w:rsid w:val="00ED1106"/>
    <w:rsid w:val="00ED1D7D"/>
    <w:rsid w:val="00ED24CE"/>
    <w:rsid w:val="00ED339B"/>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718"/>
    <w:rsid w:val="00F11CB8"/>
    <w:rsid w:val="00F11F17"/>
    <w:rsid w:val="00F13B1F"/>
    <w:rsid w:val="00F14398"/>
    <w:rsid w:val="00F165A1"/>
    <w:rsid w:val="00F170DF"/>
    <w:rsid w:val="00F20EF9"/>
    <w:rsid w:val="00F21588"/>
    <w:rsid w:val="00F22EA8"/>
    <w:rsid w:val="00F240B6"/>
    <w:rsid w:val="00F31260"/>
    <w:rsid w:val="00F31910"/>
    <w:rsid w:val="00F31A64"/>
    <w:rsid w:val="00F32246"/>
    <w:rsid w:val="00F3233F"/>
    <w:rsid w:val="00F34694"/>
    <w:rsid w:val="00F34805"/>
    <w:rsid w:val="00F35A97"/>
    <w:rsid w:val="00F41FE0"/>
    <w:rsid w:val="00F448C0"/>
    <w:rsid w:val="00F448FD"/>
    <w:rsid w:val="00F47AF4"/>
    <w:rsid w:val="00F504AE"/>
    <w:rsid w:val="00F55982"/>
    <w:rsid w:val="00F5685F"/>
    <w:rsid w:val="00F61700"/>
    <w:rsid w:val="00F6276D"/>
    <w:rsid w:val="00F66A80"/>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1C4"/>
    <w:rsid w:val="00FA278D"/>
    <w:rsid w:val="00FA3AED"/>
    <w:rsid w:val="00FA4CA2"/>
    <w:rsid w:val="00FA51A1"/>
    <w:rsid w:val="00FA543E"/>
    <w:rsid w:val="00FA56F4"/>
    <w:rsid w:val="00FA688B"/>
    <w:rsid w:val="00FB23C7"/>
    <w:rsid w:val="00FB25B8"/>
    <w:rsid w:val="00FB5C75"/>
    <w:rsid w:val="00FC008E"/>
    <w:rsid w:val="00FC0347"/>
    <w:rsid w:val="00FC08E7"/>
    <w:rsid w:val="00FC11E9"/>
    <w:rsid w:val="00FC136B"/>
    <w:rsid w:val="00FC24FB"/>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283998598">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68938143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23318992">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rYFYfv6w4q+ZZxCYhifamTAvLtQNe9+5q1pmXNkhJYI=</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NM/Q6MO0noCFcfk6tVJ9BUV15m2/TAaeTWYTyPK4wEQ=</DigestValue>
    </Reference>
  </SignedInfo>
  <SignatureValue>swG9SPBg0IP7rinUx/+p7KWuSc8O8AVmBrJ+W90qrjA3LTeO3xowW6JAT4qNE7mSkgVIdOXSYwHR
1WOgqYI9NX3rwMZHrFlH7Z69iVb0ukGPzHpmk/vKL60eD/aX82FMYSkUD2eHSQi+bjQ/0W+yKfPP
k8mk1euQ2X6AUUQMubXZVZKJQcir7Uh195xm7MNMjkZYju6TsjgllMHag4/9fAS0D+VfhGaiwaaM
JEPhtDwJ4MbtIY4oIEemFJ9KDVAYMvT0rARrhj+EdDXmmBbhwty/smXTTMWCTWXwcahH+T3zO1zd
PkC5YqB9C+ZRbUuyahWu8K5VKUagMB1bms+wnQ==</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+MhCT1ikoDrcuLvTBlk3FKSevVur4K4aNr52ft5UMjk=</DigestValue>
      </Reference>
      <Reference URI="/word/document.xml?ContentType=application/vnd.openxmlformats-officedocument.wordprocessingml.document.main+xml">
        <DigestMethod Algorithm="http://www.w3.org/2001/04/xmlenc#sha256"/>
        <DigestValue>uiJGm3sbw0guhVG4s+rc8ZtFsx6fkY2QG8rhkzqSvbA=</DigestValue>
      </Reference>
      <Reference URI="/word/embeddings/Microsoft_Excel_Worksheet.xlsx?ContentType=application/vnd.openxmlformats-officedocument.spreadsheetml.sheet">
        <DigestMethod Algorithm="http://www.w3.org/2001/04/xmlenc#sha256"/>
        <DigestValue>5wbwlPZvg0yjZNU09dNtiRD/uyJD7EZ4p3ClaDbWE8w=</DigestValue>
      </Reference>
      <Reference URI="/word/endnotes.xml?ContentType=application/vnd.openxmlformats-officedocument.wordprocessingml.endnotes+xml">
        <DigestMethod Algorithm="http://www.w3.org/2001/04/xmlenc#sha256"/>
        <DigestValue>lAwc0pm5Ib7XlN0eb8v9RrWo84+qm3Wt9YK7Noi2aSE=</DigestValue>
      </Reference>
      <Reference URI="/word/fontTable.xml?ContentType=application/vnd.openxmlformats-officedocument.wordprocessingml.fontTable+xml">
        <DigestMethod Algorithm="http://www.w3.org/2001/04/xmlenc#sha256"/>
        <DigestValue>yXigfll5Q6sJvgdhJaiLZCCXdq7FgRg+MmWJgSm9uWs=</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Q77nBzZaU/YBnICHRXDUZyQ+nf93ULpI9gahM+FRdds=</DigestValue>
      </Reference>
      <Reference URI="/word/header1.xml?ContentType=application/vnd.openxmlformats-officedocument.wordprocessingml.header+xml">
        <DigestMethod Algorithm="http://www.w3.org/2001/04/xmlenc#sha256"/>
        <DigestValue>6KG9S9u07qKU59I6ZXk42+tRg+wPSMR+o8mTmpz2y9I=</DigestValue>
      </Reference>
      <Reference URI="/word/media/image1.emf?ContentType=image/x-emf">
        <DigestMethod Algorithm="http://www.w3.org/2001/04/xmlenc#sha256"/>
        <DigestValue>KUwOvpDHT5uiO1nnqi8Q/B5KLxpDjBQ+1QFhn874nxA=</DigestValue>
      </Reference>
      <Reference URI="/word/numbering.xml?ContentType=application/vnd.openxmlformats-officedocument.wordprocessingml.numbering+xml">
        <DigestMethod Algorithm="http://www.w3.org/2001/04/xmlenc#sha256"/>
        <DigestValue>8Z7f/tnOQWHDlQTHBzup8qi3JCt1Jy4RrJYSDIo22Dg=</DigestValue>
      </Reference>
      <Reference URI="/word/settings.xml?ContentType=application/vnd.openxmlformats-officedocument.wordprocessingml.settings+xml">
        <DigestMethod Algorithm="http://www.w3.org/2001/04/xmlenc#sha256"/>
        <DigestValue>BH3exPCAzSnpKOjxjXWKLX9ysyNK8Sa9Co8geeHQET8=</DigestValue>
      </Reference>
      <Reference URI="/word/styles.xml?ContentType=application/vnd.openxmlformats-officedocument.wordprocessingml.styles+xml">
        <DigestMethod Algorithm="http://www.w3.org/2001/04/xmlenc#sha256"/>
        <DigestValue>4MTisSBCT+CT6sAwlk38XoCXuLuFnPP356sAjXjmJTE=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mMZfbe14dfsN0NNJkdaLCsNXJcYyG6YN09ZMEj+A7Fw=</DigestValue>
      </Reference>
    </Manifest>
    <SignatureProperties>
      <SignatureProperty Id="idSignatureTime" Target="#idPackageSignature">
        <mdssi:SignatureTime xmlns:mdssi="http://schemas.openxmlformats.org/package/2006/digital-signature">
          <mdssi:Format>YYYY-MM-DDThh:mm:ssTZD</mdssi:Format>
          <mdssi:Value>2024-04-17T04:20:48Z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2024-04-17T04:20:48Z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dFpxWgbSHqyslsxycsyTN90IF/Q=</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bEhgDGzRffFTuA77hGBDyTs8NPI=</DigestValue>
    </Reference>
  </SignedInfo>
  <SignatureValue>STL6Bd/vZbIcPErkRlYDkvrQYW/sfqWcdCpNViZEIueqnvnsSU4/PSBrAYZOiHQivteqoim4MoQ8
GHreS96ytbaUfD74zW7rhzUrdvwVHhgqDjVVEQIBpE7z/SQyRmEm7IU+//PsWHS7dowvKrMao6mM
g3aMq/6zom2NJfOXlCs=</SignatureValue>
  <KeyInfo>
    <X509Data>
      <X509Certificate>MIIFqzCCA5OgAwIBAgIQVAEBAS8r0DzgNWiGPyGX8DANBgkqhkiG9w0BAQUFADBpMQswCQYDVQQG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</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UEyO2M/oY+y7hik4MNFXBj4o/nQ=</DigestValue>
      </Reference>
      <Reference URI="/word/embeddings/Microsoft_Excel_Worksheet.xlsx?ContentType=application/vnd.openxmlformats-officedocument.spreadsheetml.sheet">
        <DigestMethod Algorithm="http://www.w3.org/2000/09/xmldsig#sha1"/>
        <DigestValue>XB61QjSG18R5VNEaBW6mdxwDjko=</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hn5q2RnJo5upNyAhl+kUH0fnYqE=</DigestValue>
      </Reference>
      <Reference URI="/word/numbering.xml?ContentType=application/vnd.openxmlformats-officedocument.wordprocessingml.numbering+xml">
        <DigestMethod Algorithm="http://www.w3.org/2000/09/xmldsig#sha1"/>
        <DigestValue>IkmanMbgYMTSV6pYzB74gfPfNJU=</DigestValue>
      </Reference>
      <Reference URI="/word/styles.xml?ContentType=application/vnd.openxmlformats-officedocument.wordprocessingml.styles+xml">
        <DigestMethod Algorithm="http://www.w3.org/2000/09/xmldsig#sha1"/>
        <DigestValue>Dm0L+eLppGCxOlW5+V1JtTv7kGM=</DigestValue>
      </Reference>
      <Reference URI="/word/fontTable.xml?ContentType=application/vnd.openxmlformats-officedocument.wordprocessingml.fontTable+xml">
        <DigestMethod Algorithm="http://www.w3.org/2000/09/xmldsig#sha1"/>
        <DigestValue>X7T6XmuBRNLTgQhtJm4P3EeXV6I=</DigestValue>
      </Reference>
      <Reference URI="/word/media/image1.emf?ContentType=image/x-emf">
        <DigestMethod Algorithm="http://www.w3.org/2000/09/xmldsig#sha1"/>
        <DigestValue>GmMwOZ9RKZrf+9wFt5iOHej6kbI=</DigestValue>
      </Reference>
      <Reference URI="/word/header1.xml?ContentType=application/vnd.openxmlformats-officedocument.wordprocessingml.header+xml">
        <DigestMethod Algorithm="http://www.w3.org/2000/09/xmldsig#sha1"/>
        <DigestValue>CKL2ygbvK7JIIQaL8bsEwMIWwwc=</DigestValue>
      </Reference>
      <Reference URI="/word/document.xml?ContentType=application/vnd.openxmlformats-officedocument.wordprocessingml.document.main+xml">
        <DigestMethod Algorithm="http://www.w3.org/2000/09/xmldsig#sha1"/>
        <DigestValue>2FWIzjbh/PQ+Fikj1olI0HVC3Oo=</DigestValue>
      </Reference>
      <Reference URI="/word/footer1.xml?ContentType=application/vnd.openxmlformats-officedocument.wordprocessingml.footer+xml">
        <DigestMethod Algorithm="http://www.w3.org/2000/09/xmldsig#sha1"/>
        <DigestValue>5Eljzo/r87xIqENhtvq+fSy+XEg=</DigestValue>
      </Reference>
      <Reference URI="/word/endnotes.xml?ContentType=application/vnd.openxmlformats-officedocument.wordprocessingml.endnotes+xml">
        <DigestMethod Algorithm="http://www.w3.org/2000/09/xmldsig#sha1"/>
        <DigestValue>frUD1YxLV+5jVy5ul9uT5N2m8lw=</DigestValue>
      </Reference>
      <Reference URI="/word/footnotes.xml?ContentType=application/vnd.openxmlformats-officedocument.wordprocessingml.footnotes+xml">
        <DigestMethod Algorithm="http://www.w3.org/2000/09/xmldsig#sha1"/>
        <DigestValue>fKBzjpFzkD7CoAnFvxG50vPbZ4Q=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7"/>
            <mdssi:RelationshipReference SourceId="rId1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9"/>
            <mdssi:RelationshipReference SourceId="rId14"/>
          </Transform>
          <Transform Algorithm="http://www.w3.org/TR/2001/REC-xml-c14n-20010315"/>
        </Transforms>
        <DigestMethod Algorithm="http://www.w3.org/2000/09/xmldsig#sha1"/>
        <DigestValue>M2kSdhYqmlCczRiJb2kQpDWC65M=</DigestValue>
      </Reference>
    </Manifest>
    <SignatureProperties>
      <SignatureProperty Id="idSignatureTime" Target="#idPackageSignature">
        <mdssi:SignatureTime>
          <mdssi:Format>YYYY-MM-DDThh:mm:ssTZD</mdssi:Format>
          <mdssi:Value>2024-04-19T10:03:50Z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2024-04-19T10:03:50Z</xd:SigningTime>
          <xd:SigningCertificate>
            <xd:Cert>
              <xd:CertDigest>
                <DigestMethod Algorithm="http://www.w3.org/2000/09/xmldsig#sha1"/>
                <DigestValue>c2JcXA4l+DOOmSrpFlH7N7xBYh8=</DigestValue>
              </xd:CertDigest>
              <xd:IssuerSerial>
                <X509IssuerName>CN=VNPT Certification Authority, OU=VNPT-CA Trust Network, O=VNPT Group, C=VN</X509IssuerName>
                <X509SerialNumber>111660364319027996964518747858083616752</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2.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7</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Tung, Lam</cp:lastModifiedBy>
  <cp:revision>118</cp:revision>
  <cp:lastPrinted>2024-04-16T08:31:00Z</cp:lastPrinted>
  <dcterms:created xsi:type="dcterms:W3CDTF">2021-07-02T10:51:00Z</dcterms:created>
  <dcterms:modified xsi:type="dcterms:W3CDTF">2024-04-16T08:32:00Z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MSIP_Label_ebbfc019-7f88-4fb6-96d6-94ffadd4b772_Enabled">
    <vt:lpwstr>true</vt:lpwstr>
  </property>
  <property fmtid="{D5CDD505-2E9C-101B-9397-08002B2CF9AE}" pid="4" name="MSIP_Label_ebbfc019-7f88-4fb6-96d6-94ffadd4b772_SetDate">
    <vt:lpwstr>2024-04-16T08:32:47Z</vt:lpwstr>
  </property>
  <property fmtid="{D5CDD505-2E9C-101B-9397-08002B2CF9AE}" pid="5" name="MSIP_Label_ebbfc019-7f88-4fb6-96d6-94ffadd4b772_Method">
    <vt:lpwstr>Privileged</vt:lpwstr>
  </property>
  <property fmtid="{D5CDD505-2E9C-101B-9397-08002B2CF9AE}" pid="6" name="MSIP_Label_ebbfc019-7f88-4fb6-96d6-94ffadd4b772_Name">
    <vt:lpwstr>ebbfc019-7f88-4fb6-96d6-94ffadd4b772</vt:lpwstr>
  </property>
  <property fmtid="{D5CDD505-2E9C-101B-9397-08002B2CF9AE}" pid="7" name="MSIP_Label_ebbfc019-7f88-4fb6-96d6-94ffadd4b772_SiteId">
    <vt:lpwstr>b44900f1-2def-4c3b-9ec6-9020d604e19e</vt:lpwstr>
  </property>
  <property fmtid="{D5CDD505-2E9C-101B-9397-08002B2CF9AE}" pid="8" name="MSIP_Label_ebbfc019-7f88-4fb6-96d6-94ffadd4b772_ActionId">
    <vt:lpwstr>97ceef54-1488-4271-a36a-1deed958800e</vt:lpwstr>
  </property>
  <property fmtid="{D5CDD505-2E9C-101B-9397-08002B2CF9AE}" pid="9" name="MSIP_Label_ebbfc019-7f88-4fb6-96d6-94ffadd4b772_ContentBits">
    <vt:lpwstr>1</vt:lpwstr>
  </property>
</Properties>
</file>